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49984" w14:textId="77777777" w:rsidR="00EB0F9B" w:rsidRPr="00EB0F9B" w:rsidRDefault="00EB0F9B" w:rsidP="00FE0EC9">
      <w:pPr>
        <w:spacing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247540C6" w14:textId="6AC36C0A" w:rsidR="00AF41D1" w:rsidRPr="00EB0F9B" w:rsidRDefault="001077BA" w:rsidP="00FE0EC9">
      <w:pPr>
        <w:spacing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B0F9B">
        <w:rPr>
          <w:rFonts w:ascii="Times New Roman" w:hAnsi="Times New Roman" w:cs="Times New Roman"/>
          <w:b/>
          <w:sz w:val="23"/>
          <w:szCs w:val="23"/>
        </w:rPr>
        <w:t xml:space="preserve">ANEXO </w:t>
      </w:r>
      <w:r w:rsidR="00B711D9" w:rsidRPr="00EB0F9B">
        <w:rPr>
          <w:rFonts w:ascii="Times New Roman" w:hAnsi="Times New Roman" w:cs="Times New Roman"/>
          <w:b/>
          <w:sz w:val="23"/>
          <w:szCs w:val="23"/>
        </w:rPr>
        <w:t>II</w:t>
      </w:r>
      <w:r w:rsidRPr="00EB0F9B">
        <w:rPr>
          <w:rFonts w:ascii="Times New Roman" w:hAnsi="Times New Roman" w:cs="Times New Roman"/>
          <w:b/>
          <w:sz w:val="23"/>
          <w:szCs w:val="23"/>
        </w:rPr>
        <w:t xml:space="preserve"> – </w:t>
      </w:r>
      <w:r w:rsidR="00AF41D1" w:rsidRPr="00EB0F9B">
        <w:rPr>
          <w:rFonts w:ascii="Times New Roman" w:hAnsi="Times New Roman" w:cs="Times New Roman"/>
          <w:b/>
          <w:sz w:val="23"/>
          <w:szCs w:val="23"/>
        </w:rPr>
        <w:t>MINUTA DO TERMO DE CREDENCIAMENTO</w:t>
      </w:r>
    </w:p>
    <w:p w14:paraId="4142B523" w14:textId="1BC44FB1" w:rsidR="00AF41D1" w:rsidRPr="00EB0F9B" w:rsidRDefault="00AF41D1" w:rsidP="00FE0EC9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F6068B3" w14:textId="77777777" w:rsidR="00EB0F9B" w:rsidRPr="00EB0F9B" w:rsidRDefault="00EB0F9B" w:rsidP="00EB0F9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pt-BR" w:eastAsia="pt-BR"/>
        </w:rPr>
      </w:pPr>
      <w:bookmarkStart w:id="0" w:name="_Hlk172884495"/>
      <w:bookmarkStart w:id="1" w:name="_Hlk189475685"/>
      <w:bookmarkStart w:id="2" w:name="_Hlk193114750"/>
      <w:bookmarkStart w:id="3" w:name="_GoBack"/>
      <w:r w:rsidRPr="00EB0F9B">
        <w:rPr>
          <w:rFonts w:ascii="Times New Roman" w:eastAsia="Times New Roman" w:hAnsi="Times New Roman" w:cs="Times New Roman"/>
          <w:b/>
          <w:bCs/>
          <w:sz w:val="23"/>
          <w:szCs w:val="23"/>
          <w:lang w:val="pt-BR" w:eastAsia="pt-BR"/>
        </w:rPr>
        <w:t>Processo Licitatório nº 032/2025</w:t>
      </w:r>
    </w:p>
    <w:bookmarkEnd w:id="0"/>
    <w:p w14:paraId="009D49A3" w14:textId="77777777" w:rsidR="00EB0F9B" w:rsidRPr="00EB0F9B" w:rsidRDefault="00EB0F9B" w:rsidP="00EB0F9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pt-BR" w:eastAsia="pt-BR"/>
        </w:rPr>
      </w:pPr>
      <w:r w:rsidRPr="00EB0F9B">
        <w:rPr>
          <w:rFonts w:ascii="Times New Roman" w:eastAsia="Times New Roman" w:hAnsi="Times New Roman" w:cs="Times New Roman"/>
          <w:b/>
          <w:bCs/>
          <w:sz w:val="23"/>
          <w:szCs w:val="23"/>
          <w:lang w:val="pt-BR" w:eastAsia="pt-BR"/>
        </w:rPr>
        <w:t>Inexigibilidade de Licitação nº 019/2025</w:t>
      </w:r>
    </w:p>
    <w:p w14:paraId="2D1EA4F1" w14:textId="77777777" w:rsidR="00EB0F9B" w:rsidRPr="00EB0F9B" w:rsidRDefault="00EB0F9B" w:rsidP="00EB0F9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pt-BR" w:eastAsia="pt-BR"/>
        </w:rPr>
      </w:pPr>
      <w:r w:rsidRPr="00EB0F9B">
        <w:rPr>
          <w:rFonts w:ascii="Times New Roman" w:eastAsia="Times New Roman" w:hAnsi="Times New Roman" w:cs="Times New Roman"/>
          <w:b/>
          <w:bCs/>
          <w:sz w:val="23"/>
          <w:szCs w:val="23"/>
          <w:lang w:val="pt-BR" w:eastAsia="pt-BR"/>
        </w:rPr>
        <w:t>Credenciamento nº 009/2025</w:t>
      </w:r>
      <w:bookmarkEnd w:id="1"/>
    </w:p>
    <w:bookmarkEnd w:id="2"/>
    <w:bookmarkEnd w:id="3"/>
    <w:p w14:paraId="56C62793" w14:textId="38AD898D" w:rsidR="00114B88" w:rsidRPr="00EB0F9B" w:rsidRDefault="00AF41D1" w:rsidP="00EB0F9B">
      <w:pPr>
        <w:spacing w:line="360" w:lineRule="auto"/>
        <w:ind w:left="4248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CREDENCIAMENTO</w:t>
      </w:r>
      <w:r w:rsidR="00114B88" w:rsidRPr="00EB0F9B">
        <w:rPr>
          <w:rFonts w:ascii="Times New Roman" w:hAnsi="Times New Roman" w:cs="Times New Roman"/>
          <w:sz w:val="23"/>
          <w:szCs w:val="23"/>
        </w:rPr>
        <w:t xml:space="preserve"> QUE FAZEM ENTRE SI O MUNICIPIO, POR INTERMÉDIO DO (A) ......................................................... E </w:t>
      </w:r>
      <w:r w:rsidR="00EB0F9B" w:rsidRPr="00EB0F9B">
        <w:rPr>
          <w:rFonts w:ascii="Times New Roman" w:hAnsi="Times New Roman" w:cs="Times New Roman"/>
          <w:sz w:val="23"/>
          <w:szCs w:val="23"/>
        </w:rPr>
        <w:t xml:space="preserve">O LEILOEIRO </w:t>
      </w:r>
      <w:r w:rsidR="00114B88" w:rsidRPr="00EB0F9B">
        <w:rPr>
          <w:rFonts w:ascii="Times New Roman" w:hAnsi="Times New Roman" w:cs="Times New Roman"/>
          <w:sz w:val="23"/>
          <w:szCs w:val="23"/>
        </w:rPr>
        <w:t>..........................................................</w:t>
      </w:r>
    </w:p>
    <w:p w14:paraId="79A1B327" w14:textId="77777777" w:rsidR="00AF41D1" w:rsidRPr="00EB0F9B" w:rsidRDefault="00AF41D1" w:rsidP="00FE0EC9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B62C632" w14:textId="542CB061" w:rsidR="00AF41D1" w:rsidRPr="00EB0F9B" w:rsidRDefault="00CE387D" w:rsidP="00FE0EC9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bCs/>
          <w:sz w:val="23"/>
          <w:szCs w:val="23"/>
          <w:lang w:val="pt-BR"/>
        </w:rPr>
        <w:t>O Município de Catuji, com sede no(a) Praça Getúlio Vargas, 21 – Centro CEP: 39.816-000, na cidade de Catuji/MG, inscrito(a) no CNPJ sob o nº 26.218.636/0001-06 neste ato representado(a) pelo(a) Prefeito (a) Maria José de Oliveira doravante denominado</w:t>
      </w:r>
      <w:r w:rsidR="00AF41D1" w:rsidRPr="00EB0F9B">
        <w:rPr>
          <w:rFonts w:ascii="Times New Roman" w:hAnsi="Times New Roman" w:cs="Times New Roman"/>
          <w:sz w:val="23"/>
          <w:szCs w:val="23"/>
        </w:rPr>
        <w:t xml:space="preserve"> </w:t>
      </w:r>
      <w:r w:rsidR="00B62C89" w:rsidRPr="00EB0F9B">
        <w:rPr>
          <w:rFonts w:ascii="Times New Roman" w:hAnsi="Times New Roman" w:cs="Times New Roman"/>
          <w:sz w:val="23"/>
          <w:szCs w:val="23"/>
        </w:rPr>
        <w:t>MUNICÍPIO</w:t>
      </w:r>
      <w:r w:rsidR="00AF41D1" w:rsidRPr="00EB0F9B">
        <w:rPr>
          <w:rFonts w:ascii="Times New Roman" w:hAnsi="Times New Roman" w:cs="Times New Roman"/>
          <w:sz w:val="23"/>
          <w:szCs w:val="23"/>
        </w:rPr>
        <w:t xml:space="preserve"> e a </w:t>
      </w:r>
      <w:r w:rsidR="0091225D" w:rsidRPr="00EB0F9B">
        <w:rPr>
          <w:rFonts w:ascii="Times New Roman" w:hAnsi="Times New Roman" w:cs="Times New Roman"/>
          <w:sz w:val="23"/>
          <w:szCs w:val="23"/>
        </w:rPr>
        <w:t>....................</w:t>
      </w:r>
      <w:r w:rsidR="00AF41D1" w:rsidRPr="00EB0F9B">
        <w:rPr>
          <w:rFonts w:ascii="Times New Roman" w:hAnsi="Times New Roman" w:cs="Times New Roman"/>
          <w:sz w:val="23"/>
          <w:szCs w:val="23"/>
        </w:rPr>
        <w:t xml:space="preserve">, com sede na cidade de </w:t>
      </w:r>
      <w:r w:rsidR="0091225D" w:rsidRPr="00EB0F9B">
        <w:rPr>
          <w:rFonts w:ascii="Times New Roman" w:hAnsi="Times New Roman" w:cs="Times New Roman"/>
          <w:sz w:val="23"/>
          <w:szCs w:val="23"/>
        </w:rPr>
        <w:t>................</w:t>
      </w:r>
      <w:r w:rsidR="00AF41D1" w:rsidRPr="00EB0F9B">
        <w:rPr>
          <w:rFonts w:ascii="Times New Roman" w:hAnsi="Times New Roman" w:cs="Times New Roman"/>
          <w:sz w:val="23"/>
          <w:szCs w:val="23"/>
        </w:rPr>
        <w:t>, Estado de ..........., na</w:t>
      </w:r>
      <w:r w:rsidR="008D7EF3" w:rsidRPr="00EB0F9B">
        <w:rPr>
          <w:rFonts w:ascii="Times New Roman" w:hAnsi="Times New Roman" w:cs="Times New Roman"/>
          <w:sz w:val="23"/>
          <w:szCs w:val="23"/>
        </w:rPr>
        <w:t xml:space="preserve"> ...............</w:t>
      </w:r>
      <w:r w:rsidR="00AF41D1" w:rsidRPr="00EB0F9B">
        <w:rPr>
          <w:rFonts w:ascii="Times New Roman" w:hAnsi="Times New Roman" w:cs="Times New Roman"/>
          <w:sz w:val="23"/>
          <w:szCs w:val="23"/>
        </w:rPr>
        <w:t xml:space="preserve">, nº </w:t>
      </w:r>
      <w:r w:rsidR="008D7EF3" w:rsidRPr="00EB0F9B">
        <w:rPr>
          <w:rFonts w:ascii="Times New Roman" w:hAnsi="Times New Roman" w:cs="Times New Roman"/>
          <w:sz w:val="23"/>
          <w:szCs w:val="23"/>
        </w:rPr>
        <w:t>..</w:t>
      </w:r>
      <w:r w:rsidR="00AF41D1" w:rsidRPr="00EB0F9B">
        <w:rPr>
          <w:rFonts w:ascii="Times New Roman" w:hAnsi="Times New Roman" w:cs="Times New Roman"/>
          <w:sz w:val="23"/>
          <w:szCs w:val="23"/>
        </w:rPr>
        <w:t xml:space="preserve">- Bairro </w:t>
      </w:r>
      <w:r w:rsidR="008D7EF3" w:rsidRPr="00EB0F9B">
        <w:rPr>
          <w:rFonts w:ascii="Times New Roman" w:hAnsi="Times New Roman" w:cs="Times New Roman"/>
          <w:sz w:val="23"/>
          <w:szCs w:val="23"/>
        </w:rPr>
        <w:t>.......</w:t>
      </w:r>
      <w:r w:rsidR="00AF41D1" w:rsidRPr="00EB0F9B">
        <w:rPr>
          <w:rFonts w:ascii="Times New Roman" w:hAnsi="Times New Roman" w:cs="Times New Roman"/>
          <w:sz w:val="23"/>
          <w:szCs w:val="23"/>
        </w:rPr>
        <w:t>, inscrita no CNPJ sob o nº</w:t>
      </w:r>
      <w:r w:rsidR="008D7EF3" w:rsidRPr="00EB0F9B">
        <w:rPr>
          <w:rFonts w:ascii="Times New Roman" w:hAnsi="Times New Roman" w:cs="Times New Roman"/>
          <w:sz w:val="23"/>
          <w:szCs w:val="23"/>
        </w:rPr>
        <w:t xml:space="preserve"> ..........</w:t>
      </w:r>
      <w:r w:rsidR="00AF41D1" w:rsidRPr="00EB0F9B">
        <w:rPr>
          <w:rFonts w:ascii="Times New Roman" w:hAnsi="Times New Roman" w:cs="Times New Roman"/>
          <w:sz w:val="23"/>
          <w:szCs w:val="23"/>
        </w:rPr>
        <w:t xml:space="preserve">, neste ato representada pelo Senhor(a) </w:t>
      </w:r>
      <w:r w:rsidR="008D7EF3" w:rsidRPr="00EB0F9B">
        <w:rPr>
          <w:rFonts w:ascii="Times New Roman" w:hAnsi="Times New Roman" w:cs="Times New Roman"/>
          <w:sz w:val="23"/>
          <w:szCs w:val="23"/>
        </w:rPr>
        <w:t>..............</w:t>
      </w:r>
      <w:r w:rsidR="00AF41D1" w:rsidRPr="00EB0F9B">
        <w:rPr>
          <w:rFonts w:ascii="Times New Roman" w:hAnsi="Times New Roman" w:cs="Times New Roman"/>
          <w:sz w:val="23"/>
          <w:szCs w:val="23"/>
        </w:rPr>
        <w:t>, portador(a) do CPF nº</w:t>
      </w:r>
      <w:r w:rsidR="008D7EF3" w:rsidRPr="00EB0F9B">
        <w:rPr>
          <w:rFonts w:ascii="Times New Roman" w:hAnsi="Times New Roman" w:cs="Times New Roman"/>
          <w:sz w:val="23"/>
          <w:szCs w:val="23"/>
        </w:rPr>
        <w:t xml:space="preserve"> ..***.***.</w:t>
      </w:r>
      <w:r w:rsidR="00CA424D" w:rsidRPr="00EB0F9B">
        <w:rPr>
          <w:rFonts w:ascii="Times New Roman" w:hAnsi="Times New Roman" w:cs="Times New Roman"/>
          <w:sz w:val="23"/>
          <w:szCs w:val="23"/>
        </w:rPr>
        <w:t>..</w:t>
      </w:r>
      <w:r w:rsidR="00AF41D1" w:rsidRPr="00EB0F9B">
        <w:rPr>
          <w:rFonts w:ascii="Times New Roman" w:hAnsi="Times New Roman" w:cs="Times New Roman"/>
          <w:sz w:val="23"/>
          <w:szCs w:val="23"/>
        </w:rPr>
        <w:t xml:space="preserve">, que também subscreve, doravante denominada de </w:t>
      </w:r>
      <w:r w:rsidR="00B62655" w:rsidRPr="00EB0F9B">
        <w:rPr>
          <w:rFonts w:ascii="Times New Roman" w:hAnsi="Times New Roman" w:cs="Times New Roman"/>
          <w:sz w:val="23"/>
          <w:szCs w:val="23"/>
        </w:rPr>
        <w:t>CREDENCIADO</w:t>
      </w:r>
      <w:r w:rsidR="00AF41D1" w:rsidRPr="00EB0F9B">
        <w:rPr>
          <w:rFonts w:ascii="Times New Roman" w:hAnsi="Times New Roman" w:cs="Times New Roman"/>
          <w:sz w:val="23"/>
          <w:szCs w:val="23"/>
        </w:rPr>
        <w:t xml:space="preserve">, devidamente autorizado nos autos do Processo Administrativo n° </w:t>
      </w:r>
      <w:r w:rsidR="00F15649" w:rsidRPr="00EB0F9B">
        <w:rPr>
          <w:rFonts w:ascii="Times New Roman" w:hAnsi="Times New Roman" w:cs="Times New Roman"/>
          <w:sz w:val="23"/>
          <w:szCs w:val="23"/>
        </w:rPr>
        <w:t>___/</w:t>
      </w:r>
      <w:r w:rsidR="000D6B6B" w:rsidRPr="00EB0F9B">
        <w:rPr>
          <w:rFonts w:ascii="Times New Roman" w:hAnsi="Times New Roman" w:cs="Times New Roman"/>
          <w:sz w:val="23"/>
          <w:szCs w:val="23"/>
        </w:rPr>
        <w:t>2025</w:t>
      </w:r>
      <w:r w:rsidR="00F15649" w:rsidRPr="00EB0F9B">
        <w:rPr>
          <w:rFonts w:ascii="Times New Roman" w:hAnsi="Times New Roman" w:cs="Times New Roman"/>
          <w:sz w:val="23"/>
          <w:szCs w:val="23"/>
        </w:rPr>
        <w:t xml:space="preserve"> </w:t>
      </w:r>
      <w:r w:rsidR="00AF41D1" w:rsidRPr="00EB0F9B">
        <w:rPr>
          <w:rFonts w:ascii="Times New Roman" w:hAnsi="Times New Roman" w:cs="Times New Roman"/>
          <w:sz w:val="23"/>
          <w:szCs w:val="23"/>
        </w:rPr>
        <w:t xml:space="preserve">Credenciamento nº </w:t>
      </w:r>
      <w:r w:rsidR="00F15649" w:rsidRPr="00EB0F9B">
        <w:rPr>
          <w:rFonts w:ascii="Times New Roman" w:hAnsi="Times New Roman" w:cs="Times New Roman"/>
          <w:sz w:val="23"/>
          <w:szCs w:val="23"/>
        </w:rPr>
        <w:t>____</w:t>
      </w:r>
      <w:r w:rsidR="001008AA" w:rsidRPr="00EB0F9B">
        <w:rPr>
          <w:rFonts w:ascii="Times New Roman" w:hAnsi="Times New Roman" w:cs="Times New Roman"/>
          <w:sz w:val="23"/>
          <w:szCs w:val="23"/>
        </w:rPr>
        <w:t>/</w:t>
      </w:r>
      <w:r w:rsidR="000D6B6B" w:rsidRPr="00EB0F9B">
        <w:rPr>
          <w:rFonts w:ascii="Times New Roman" w:hAnsi="Times New Roman" w:cs="Times New Roman"/>
          <w:sz w:val="23"/>
          <w:szCs w:val="23"/>
        </w:rPr>
        <w:t>2025</w:t>
      </w:r>
      <w:r w:rsidR="00AF41D1" w:rsidRPr="00EB0F9B">
        <w:rPr>
          <w:rFonts w:ascii="Times New Roman" w:hAnsi="Times New Roman" w:cs="Times New Roman"/>
          <w:sz w:val="23"/>
          <w:szCs w:val="23"/>
        </w:rPr>
        <w:t xml:space="preserve">, têm entre si justo e </w:t>
      </w:r>
      <w:r w:rsidR="00B62655" w:rsidRPr="00EB0F9B">
        <w:rPr>
          <w:rFonts w:ascii="Times New Roman" w:hAnsi="Times New Roman" w:cs="Times New Roman"/>
          <w:sz w:val="23"/>
          <w:szCs w:val="23"/>
        </w:rPr>
        <w:t>Credenciado</w:t>
      </w:r>
      <w:r w:rsidR="00AF41D1" w:rsidRPr="00EB0F9B">
        <w:rPr>
          <w:rFonts w:ascii="Times New Roman" w:hAnsi="Times New Roman" w:cs="Times New Roman"/>
          <w:sz w:val="23"/>
          <w:szCs w:val="23"/>
        </w:rPr>
        <w:t xml:space="preserve"> o que segue:</w:t>
      </w:r>
    </w:p>
    <w:p w14:paraId="517759F8" w14:textId="77777777" w:rsidR="00EB0F9B" w:rsidRPr="00EB0F9B" w:rsidRDefault="00EB0F9B" w:rsidP="00FE0EC9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BD7F612" w14:textId="5D52D0D9" w:rsidR="00AF41D1" w:rsidRPr="00EB0F9B" w:rsidRDefault="00ED3D22" w:rsidP="00FE0EC9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B0F9B">
        <w:rPr>
          <w:rFonts w:ascii="Times New Roman" w:hAnsi="Times New Roman" w:cs="Times New Roman"/>
          <w:b/>
          <w:sz w:val="23"/>
          <w:szCs w:val="23"/>
        </w:rPr>
        <w:t>CLÁUSLA PRIMEIRA - DO OBJETO</w:t>
      </w:r>
    </w:p>
    <w:p w14:paraId="05CD54A0" w14:textId="77777777" w:rsidR="00ED3D22" w:rsidRPr="00EB0F9B" w:rsidRDefault="00C17223" w:rsidP="00FE0EC9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Credenciamento</w:t>
      </w:r>
      <w:r w:rsidR="001008AA" w:rsidRPr="00EB0F9B">
        <w:rPr>
          <w:rFonts w:ascii="Times New Roman" w:hAnsi="Times New Roman" w:cs="Times New Roman"/>
          <w:sz w:val="23"/>
          <w:szCs w:val="23"/>
        </w:rPr>
        <w:t xml:space="preserve"> </w:t>
      </w:r>
      <w:r w:rsidR="00ED3D22" w:rsidRPr="00EB0F9B">
        <w:rPr>
          <w:rFonts w:ascii="Times New Roman" w:hAnsi="Times New Roman" w:cs="Times New Roman"/>
          <w:sz w:val="23"/>
          <w:szCs w:val="23"/>
        </w:rPr>
        <w:t>para</w:t>
      </w:r>
      <w:r w:rsidR="001008AA" w:rsidRPr="00EB0F9B">
        <w:rPr>
          <w:rFonts w:ascii="Times New Roman" w:hAnsi="Times New Roman" w:cs="Times New Roman"/>
          <w:sz w:val="23"/>
          <w:szCs w:val="23"/>
        </w:rPr>
        <w:t xml:space="preserve"> </w:t>
      </w:r>
      <w:r w:rsidR="00ED3D22" w:rsidRPr="00EB0F9B">
        <w:rPr>
          <w:rFonts w:ascii="Times New Roman" w:hAnsi="Times New Roman" w:cs="Times New Roman"/>
          <w:sz w:val="23"/>
          <w:szCs w:val="23"/>
        </w:rPr>
        <w:t>......................................................................</w:t>
      </w:r>
      <w:r w:rsidRPr="00EB0F9B">
        <w:rPr>
          <w:rFonts w:ascii="Times New Roman" w:hAnsi="Times New Roman" w:cs="Times New Roman"/>
          <w:sz w:val="23"/>
          <w:szCs w:val="23"/>
        </w:rPr>
        <w:t>, nos termos e nas condições estabelecidas neste Edital</w:t>
      </w:r>
      <w:r w:rsidR="001008AA" w:rsidRPr="00EB0F9B">
        <w:rPr>
          <w:rFonts w:ascii="Times New Roman" w:hAnsi="Times New Roman" w:cs="Times New Roman"/>
          <w:sz w:val="23"/>
          <w:szCs w:val="23"/>
        </w:rPr>
        <w:t>.</w:t>
      </w:r>
    </w:p>
    <w:p w14:paraId="50141548" w14:textId="77777777" w:rsidR="00ED3D22" w:rsidRPr="00EB0F9B" w:rsidRDefault="00AF0541" w:rsidP="00FE0EC9">
      <w:pPr>
        <w:pStyle w:val="PargrafodaLista"/>
        <w:numPr>
          <w:ilvl w:val="1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Vinculam esta contratação, independentemente de transição:</w:t>
      </w:r>
    </w:p>
    <w:p w14:paraId="7148B2B6" w14:textId="77777777" w:rsidR="00ED3D22" w:rsidRPr="00EB0F9B" w:rsidRDefault="00AF0541" w:rsidP="00FE0EC9">
      <w:pPr>
        <w:pStyle w:val="PargrafodaLista"/>
        <w:numPr>
          <w:ilvl w:val="2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O termo de referência;</w:t>
      </w:r>
    </w:p>
    <w:p w14:paraId="2952E069" w14:textId="77777777" w:rsidR="00ED3D22" w:rsidRPr="00EB0F9B" w:rsidRDefault="00AF0541" w:rsidP="00FE0EC9">
      <w:pPr>
        <w:pStyle w:val="PargrafodaLista"/>
        <w:numPr>
          <w:ilvl w:val="2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O edital da licitação;</w:t>
      </w:r>
    </w:p>
    <w:p w14:paraId="713EEA1D" w14:textId="77777777" w:rsidR="00ED3D22" w:rsidRPr="00EB0F9B" w:rsidRDefault="00983FE4" w:rsidP="00FE0EC9">
      <w:pPr>
        <w:pStyle w:val="PargrafodaLista"/>
        <w:numPr>
          <w:ilvl w:val="2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A solicitação de Credenciamento</w:t>
      </w:r>
      <w:r w:rsidR="00AF0541" w:rsidRPr="00EB0F9B">
        <w:rPr>
          <w:rFonts w:ascii="Times New Roman" w:hAnsi="Times New Roman" w:cs="Times New Roman"/>
          <w:sz w:val="23"/>
          <w:szCs w:val="23"/>
        </w:rPr>
        <w:t>;</w:t>
      </w:r>
    </w:p>
    <w:p w14:paraId="7E8F77DA" w14:textId="2F552A27" w:rsidR="00AF0541" w:rsidRPr="00EB0F9B" w:rsidRDefault="00AF0541" w:rsidP="00FE0EC9">
      <w:pPr>
        <w:pStyle w:val="PargrafodaLista"/>
        <w:numPr>
          <w:ilvl w:val="2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Eventuais anexos dos documentos supracitados.</w:t>
      </w:r>
    </w:p>
    <w:p w14:paraId="1F44E98C" w14:textId="6F4F627E" w:rsidR="00B80D24" w:rsidRPr="00EB0F9B" w:rsidRDefault="00ED3D22" w:rsidP="00FE0EC9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b/>
          <w:sz w:val="23"/>
          <w:szCs w:val="23"/>
          <w:lang w:val="pt-BR"/>
        </w:rPr>
        <w:t>CLÁUSULA SEGUNDA - VIGÊNCIA E PRORROGAÇÃO</w:t>
      </w:r>
    </w:p>
    <w:p w14:paraId="095E88BC" w14:textId="77777777" w:rsidR="007930BB" w:rsidRPr="00EB0F9B" w:rsidRDefault="007930BB" w:rsidP="00FE0EC9">
      <w:pPr>
        <w:pStyle w:val="PargrafodaLista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EB0F9B">
        <w:rPr>
          <w:rFonts w:ascii="Times New Roman" w:hAnsi="Times New Roman" w:cs="Times New Roman"/>
          <w:sz w:val="23"/>
          <w:szCs w:val="23"/>
          <w:lang w:val="pt-BR"/>
        </w:rPr>
        <w:t>O presente Contrato será válido para 01 (um) certame, e terá vigência de 12 (doze) meses, contados do dia subsequente ao da publicação de seu resumo no Diário Eletrônico Oficial do Município.</w:t>
      </w:r>
    </w:p>
    <w:p w14:paraId="0AB05410" w14:textId="77777777" w:rsidR="007930BB" w:rsidRPr="00EB0F9B" w:rsidRDefault="007930BB" w:rsidP="00FE0EC9">
      <w:pPr>
        <w:pStyle w:val="PargrafodaLista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EB0F9B">
        <w:rPr>
          <w:rFonts w:ascii="Times New Roman" w:hAnsi="Times New Roman" w:cs="Times New Roman"/>
          <w:sz w:val="23"/>
          <w:szCs w:val="23"/>
          <w:lang w:val="pt-BR"/>
        </w:rPr>
        <w:t>O termo de credenciamento poderá ser prorrogado, excepcionalmente, até a conclusão da efetiva prestação de contas do Leilão, em caso de atraso devidamente justificado, dentro dos limites legais.</w:t>
      </w:r>
    </w:p>
    <w:p w14:paraId="2995B365" w14:textId="77777777" w:rsidR="007930BB" w:rsidRPr="00EB0F9B" w:rsidRDefault="007930BB" w:rsidP="00FE0EC9">
      <w:pPr>
        <w:pStyle w:val="PargrafodaLista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EB0F9B">
        <w:rPr>
          <w:rFonts w:ascii="Times New Roman" w:hAnsi="Times New Roman" w:cs="Times New Roman"/>
          <w:sz w:val="23"/>
          <w:szCs w:val="23"/>
          <w:lang w:val="pt-BR"/>
        </w:rPr>
        <w:lastRenderedPageBreak/>
        <w:t>Com a efetiva prestação de contas do Leilão o contrato poderá ser extinto, em virtude do cumprimento integral do objeto, ainda que haja prazo de vigência remanescente.</w:t>
      </w:r>
    </w:p>
    <w:p w14:paraId="47F55E91" w14:textId="6F0FEB67" w:rsidR="00B80D24" w:rsidRPr="00EB0F9B" w:rsidRDefault="007930BB" w:rsidP="00FE0EC9">
      <w:pPr>
        <w:pStyle w:val="PargrafodaLista"/>
        <w:numPr>
          <w:ilvl w:val="1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  <w:lang w:val="pt-BR"/>
        </w:rPr>
        <w:t>O prazo do Leiloeiro Oficial para realização do leilão será de até 90 (noventa) dias a partir da contratação</w:t>
      </w:r>
      <w:r w:rsidR="00B80D24" w:rsidRPr="00EB0F9B">
        <w:rPr>
          <w:rFonts w:ascii="Times New Roman" w:hAnsi="Times New Roman" w:cs="Times New Roman"/>
          <w:sz w:val="23"/>
          <w:szCs w:val="23"/>
          <w:lang w:val="pt-BR"/>
        </w:rPr>
        <w:t>.</w:t>
      </w:r>
    </w:p>
    <w:p w14:paraId="31E49152" w14:textId="77777777" w:rsidR="00537DF3" w:rsidRPr="00EB0F9B" w:rsidRDefault="00C35EF6" w:rsidP="00FE0EC9">
      <w:pPr>
        <w:spacing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B0F9B">
        <w:rPr>
          <w:rFonts w:ascii="Times New Roman" w:hAnsi="Times New Roman" w:cs="Times New Roman"/>
          <w:b/>
          <w:sz w:val="23"/>
          <w:szCs w:val="23"/>
        </w:rPr>
        <w:t xml:space="preserve">CLÁUSULA TERCEIRA –DA EXECUÇÃO E GESTÃO CONTRATUAIS </w:t>
      </w:r>
    </w:p>
    <w:p w14:paraId="15D3F253" w14:textId="0DDECDFB" w:rsidR="00C35EF6" w:rsidRPr="00EB0F9B" w:rsidRDefault="00537DF3" w:rsidP="00FE0EC9">
      <w:pPr>
        <w:pStyle w:val="PargrafodaLista"/>
        <w:numPr>
          <w:ilvl w:val="1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  <w:lang w:val="pt-BR"/>
        </w:rPr>
        <w:t xml:space="preserve">O regime de execução contratual, o modelo de gestão, assim como os prazos e condições de conclusão, entrega, observação e recebimento definitivo constam no Termo de Referência, anexo a este </w:t>
      </w:r>
      <w:r w:rsidR="00B62655" w:rsidRPr="00EB0F9B">
        <w:rPr>
          <w:rFonts w:ascii="Times New Roman" w:hAnsi="Times New Roman" w:cs="Times New Roman"/>
          <w:sz w:val="23"/>
          <w:szCs w:val="23"/>
          <w:lang w:val="pt-BR"/>
        </w:rPr>
        <w:t>Termo de Credenciamento</w:t>
      </w:r>
      <w:r w:rsidRPr="00EB0F9B">
        <w:rPr>
          <w:rFonts w:ascii="Times New Roman" w:hAnsi="Times New Roman" w:cs="Times New Roman"/>
          <w:sz w:val="23"/>
          <w:szCs w:val="23"/>
          <w:lang w:val="pt-BR"/>
        </w:rPr>
        <w:t>.</w:t>
      </w:r>
    </w:p>
    <w:p w14:paraId="0B656679" w14:textId="77777777" w:rsidR="00537DF3" w:rsidRPr="00EB0F9B" w:rsidRDefault="00537DF3" w:rsidP="00FE0EC9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B0F9B">
        <w:rPr>
          <w:rFonts w:ascii="Times New Roman" w:hAnsi="Times New Roman" w:cs="Times New Roman"/>
          <w:b/>
          <w:sz w:val="23"/>
          <w:szCs w:val="23"/>
        </w:rPr>
        <w:t xml:space="preserve">CLÁUSULA QUARTA - SUBCONTRATAÇÃO </w:t>
      </w:r>
    </w:p>
    <w:p w14:paraId="429AFA7C" w14:textId="6B9A2B1B" w:rsidR="00537DF3" w:rsidRPr="00EB0F9B" w:rsidRDefault="00537DF3" w:rsidP="00FE0EC9">
      <w:pPr>
        <w:pStyle w:val="PargrafodaLista"/>
        <w:numPr>
          <w:ilvl w:val="1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Não será admitida a subcontratação do objeto contratual.</w:t>
      </w:r>
    </w:p>
    <w:p w14:paraId="5CAD96AF" w14:textId="77777777" w:rsidR="00537DF3" w:rsidRPr="00EB0F9B" w:rsidRDefault="00537DF3" w:rsidP="00FE0EC9">
      <w:pPr>
        <w:spacing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B0F9B">
        <w:rPr>
          <w:rFonts w:ascii="Times New Roman" w:hAnsi="Times New Roman" w:cs="Times New Roman"/>
          <w:b/>
          <w:sz w:val="23"/>
          <w:szCs w:val="23"/>
        </w:rPr>
        <w:t>CLÁUSULA QUINTA – PREÇO</w:t>
      </w:r>
    </w:p>
    <w:p w14:paraId="2EF8A38B" w14:textId="32C86DA0" w:rsidR="001A0FE4" w:rsidRPr="00EB0F9B" w:rsidRDefault="005A5C83" w:rsidP="00FE0EC9">
      <w:pPr>
        <w:pStyle w:val="PargrafodaLista"/>
        <w:numPr>
          <w:ilvl w:val="1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Não há valor a ser pago pela Contratante ao Contratado em virtude das especificidades dos serviços, em que o Contratado é remunerado pelo arrematante do lote no Leilão, em percentual e condições definidos na Cláusula sétima a seguir.</w:t>
      </w:r>
    </w:p>
    <w:p w14:paraId="2A9AED78" w14:textId="3A06B91F" w:rsidR="00744976" w:rsidRPr="00EB0F9B" w:rsidRDefault="002438EA" w:rsidP="00FE0EC9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B0F9B">
        <w:rPr>
          <w:rFonts w:ascii="Times New Roman" w:hAnsi="Times New Roman" w:cs="Times New Roman"/>
          <w:b/>
          <w:sz w:val="23"/>
          <w:szCs w:val="23"/>
        </w:rPr>
        <w:t xml:space="preserve">CLÁUSULA SEXTA </w:t>
      </w:r>
      <w:r w:rsidR="00744976" w:rsidRPr="00EB0F9B">
        <w:rPr>
          <w:rFonts w:ascii="Times New Roman" w:hAnsi="Times New Roman" w:cs="Times New Roman"/>
          <w:b/>
          <w:sz w:val="23"/>
          <w:szCs w:val="23"/>
        </w:rPr>
        <w:t>–</w:t>
      </w:r>
      <w:r w:rsidRPr="00EB0F9B">
        <w:rPr>
          <w:rFonts w:ascii="Times New Roman" w:hAnsi="Times New Roman" w:cs="Times New Roman"/>
          <w:b/>
          <w:sz w:val="23"/>
          <w:szCs w:val="23"/>
        </w:rPr>
        <w:t xml:space="preserve"> PAGAMENTO</w:t>
      </w:r>
    </w:p>
    <w:p w14:paraId="4BFAD259" w14:textId="26FC915D" w:rsidR="00537DF3" w:rsidRPr="00EB0F9B" w:rsidRDefault="002438EA" w:rsidP="00FE0EC9">
      <w:pPr>
        <w:pStyle w:val="PargrafodaLista"/>
        <w:numPr>
          <w:ilvl w:val="1"/>
          <w:numId w:val="1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O prazo para pagamento ao </w:t>
      </w:r>
      <w:r w:rsidR="00B62655" w:rsidRPr="00EB0F9B">
        <w:rPr>
          <w:rFonts w:ascii="Times New Roman" w:hAnsi="Times New Roman" w:cs="Times New Roman"/>
          <w:sz w:val="23"/>
          <w:szCs w:val="23"/>
        </w:rPr>
        <w:t>Credenciado</w:t>
      </w:r>
      <w:r w:rsidRPr="00EB0F9B">
        <w:rPr>
          <w:rFonts w:ascii="Times New Roman" w:hAnsi="Times New Roman" w:cs="Times New Roman"/>
          <w:sz w:val="23"/>
          <w:szCs w:val="23"/>
        </w:rPr>
        <w:t xml:space="preserve"> e demais condições a ele referentes encontram-se definidos no Termo de Referência, anexo a este Termo de Credenciamento.</w:t>
      </w:r>
    </w:p>
    <w:p w14:paraId="788E24C0" w14:textId="77777777" w:rsidR="00522168" w:rsidRPr="00EB0F9B" w:rsidRDefault="002F31E1" w:rsidP="00FE0EC9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B0F9B">
        <w:rPr>
          <w:rFonts w:ascii="Times New Roman" w:hAnsi="Times New Roman" w:cs="Times New Roman"/>
          <w:b/>
          <w:sz w:val="23"/>
          <w:szCs w:val="23"/>
        </w:rPr>
        <w:t xml:space="preserve">CLÁUSULA SÉTIMA - REAJUSTE </w:t>
      </w:r>
    </w:p>
    <w:p w14:paraId="28A294A4" w14:textId="16B9B398" w:rsidR="008D3EDF" w:rsidRPr="00EB0F9B" w:rsidRDefault="005A5C83" w:rsidP="00FE0EC9">
      <w:pPr>
        <w:pStyle w:val="PargrafodaLista"/>
        <w:numPr>
          <w:ilvl w:val="1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  <w:lang w:val="pt-BR"/>
        </w:rPr>
        <w:t>Os preços inicialmente contratados são fixos e irreajustáveis até o final da vigência do presente instrumento</w:t>
      </w:r>
      <w:r w:rsidR="002F31E1" w:rsidRPr="00EB0F9B">
        <w:rPr>
          <w:rFonts w:ascii="Times New Roman" w:hAnsi="Times New Roman" w:cs="Times New Roman"/>
          <w:sz w:val="23"/>
          <w:szCs w:val="23"/>
        </w:rPr>
        <w:t>.</w:t>
      </w:r>
    </w:p>
    <w:p w14:paraId="2ABD9CD1" w14:textId="217668BF" w:rsidR="00473C9B" w:rsidRPr="00EB0F9B" w:rsidRDefault="00473C9B" w:rsidP="00FE0EC9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3"/>
          <w:szCs w:val="23"/>
          <w:lang w:val="pt-BR"/>
        </w:rPr>
      </w:pPr>
      <w:r w:rsidRPr="00EB0F9B">
        <w:rPr>
          <w:rFonts w:ascii="Times New Roman" w:hAnsi="Times New Roman" w:cs="Times New Roman"/>
          <w:b/>
          <w:sz w:val="23"/>
          <w:szCs w:val="23"/>
          <w:lang w:val="pt-BR"/>
        </w:rPr>
        <w:t xml:space="preserve">CLÁUSULA OITAVA - OBRIGAÇÕES DO </w:t>
      </w:r>
      <w:r w:rsidR="00B62655" w:rsidRPr="00EB0F9B">
        <w:rPr>
          <w:rFonts w:ascii="Times New Roman" w:hAnsi="Times New Roman" w:cs="Times New Roman"/>
          <w:b/>
          <w:sz w:val="23"/>
          <w:szCs w:val="23"/>
          <w:lang w:val="pt-BR"/>
        </w:rPr>
        <w:t>MUNICÍPIO</w:t>
      </w:r>
    </w:p>
    <w:p w14:paraId="697AB4C8" w14:textId="77777777" w:rsidR="009B1F95" w:rsidRPr="00EB0F9B" w:rsidRDefault="009B1F95" w:rsidP="00FE0EC9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  <w:lang w:val="x-none"/>
        </w:rPr>
      </w:pPr>
      <w:r w:rsidRPr="00EB0F9B">
        <w:rPr>
          <w:rFonts w:ascii="Times New Roman" w:hAnsi="Times New Roman" w:cs="Times New Roman"/>
          <w:sz w:val="23"/>
          <w:szCs w:val="23"/>
          <w:lang w:val="x-none"/>
        </w:rPr>
        <w:t>Assegurar o livre acesso ao Leiloeiro e à sua equipe, quando devidamente identificados, aos locais onde estão acondicionados os bens a serem leiloados.</w:t>
      </w:r>
    </w:p>
    <w:p w14:paraId="23763C57" w14:textId="40B005B8" w:rsidR="009B1F95" w:rsidRPr="00EB0F9B" w:rsidRDefault="009B1F95" w:rsidP="00FE0EC9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  <w:lang w:val="x-none"/>
        </w:rPr>
      </w:pPr>
      <w:r w:rsidRPr="00EB0F9B">
        <w:rPr>
          <w:rFonts w:ascii="Times New Roman" w:hAnsi="Times New Roman" w:cs="Times New Roman"/>
          <w:sz w:val="23"/>
          <w:szCs w:val="23"/>
          <w:lang w:val="x-none"/>
        </w:rPr>
        <w:t>Prestar todas as informações e esclarecimentos que o credenciado e sua equipe responsável pela realização do Leilão venham a solicitar para o desenvolvimento dos trabalhos.</w:t>
      </w:r>
    </w:p>
    <w:p w14:paraId="09F5ADBA" w14:textId="3BD833F1" w:rsidR="009B1F95" w:rsidRPr="00EB0F9B" w:rsidRDefault="009B1F95" w:rsidP="00FE0EC9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  <w:lang w:val="x-none"/>
        </w:rPr>
      </w:pPr>
      <w:r w:rsidRPr="00EB0F9B">
        <w:rPr>
          <w:rFonts w:ascii="Times New Roman" w:hAnsi="Times New Roman" w:cs="Times New Roman"/>
          <w:sz w:val="23"/>
          <w:szCs w:val="23"/>
          <w:lang w:val="x-none"/>
        </w:rPr>
        <w:t>Aprovar minuta de Edital de Leilão, quando apresentada pelo Leiloeiro Oficial contratado, conforme análise da Procuradoria Jurídica.</w:t>
      </w:r>
    </w:p>
    <w:p w14:paraId="31165D10" w14:textId="704D850E" w:rsidR="009B1F95" w:rsidRPr="00EB0F9B" w:rsidRDefault="009B1F95" w:rsidP="00FE0EC9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  <w:lang w:val="x-none"/>
        </w:rPr>
      </w:pPr>
      <w:r w:rsidRPr="00EB0F9B">
        <w:rPr>
          <w:rFonts w:ascii="Times New Roman" w:hAnsi="Times New Roman" w:cs="Times New Roman"/>
          <w:sz w:val="23"/>
          <w:szCs w:val="23"/>
          <w:lang w:val="x-none"/>
        </w:rPr>
        <w:t>Supervisionar, acompanhar e fiscalizar permanentemente a prestação do serviço, sem prejuízo das responsabilidades que cabem aos contratados.</w:t>
      </w:r>
    </w:p>
    <w:p w14:paraId="41FCF3E6" w14:textId="68F6687D" w:rsidR="009B1F95" w:rsidRPr="00EB0F9B" w:rsidRDefault="009B1F95" w:rsidP="00FE0EC9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  <w:lang w:val="x-none"/>
        </w:rPr>
      </w:pPr>
      <w:r w:rsidRPr="00EB0F9B">
        <w:rPr>
          <w:rFonts w:ascii="Times New Roman" w:hAnsi="Times New Roman" w:cs="Times New Roman"/>
          <w:sz w:val="23"/>
          <w:szCs w:val="23"/>
          <w:lang w:val="x-none"/>
        </w:rPr>
        <w:t>Cumprir e fazer cumprir as disposições regulamentares do serviço e as cláusulas do contrato.</w:t>
      </w:r>
    </w:p>
    <w:p w14:paraId="444A37C5" w14:textId="50136DBC" w:rsidR="009B1F95" w:rsidRPr="00EB0F9B" w:rsidRDefault="009B1F95" w:rsidP="00FE0EC9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  <w:lang w:val="x-none"/>
        </w:rPr>
      </w:pPr>
      <w:r w:rsidRPr="00EB0F9B">
        <w:rPr>
          <w:rFonts w:ascii="Times New Roman" w:hAnsi="Times New Roman" w:cs="Times New Roman"/>
          <w:sz w:val="23"/>
          <w:szCs w:val="23"/>
          <w:lang w:val="x-none"/>
        </w:rPr>
        <w:t>Zelar pela boa qualidade do serviço, receber e apurar queixas e reclamações dos usuários.</w:t>
      </w:r>
    </w:p>
    <w:p w14:paraId="4D95FD7E" w14:textId="14659579" w:rsidR="009B1F95" w:rsidRPr="00EB0F9B" w:rsidRDefault="009B1F95" w:rsidP="00FE0EC9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  <w:lang w:val="x-none"/>
        </w:rPr>
      </w:pPr>
      <w:r w:rsidRPr="00EB0F9B">
        <w:rPr>
          <w:rFonts w:ascii="Times New Roman" w:hAnsi="Times New Roman" w:cs="Times New Roman"/>
          <w:sz w:val="23"/>
          <w:szCs w:val="23"/>
          <w:lang w:val="x-none"/>
        </w:rPr>
        <w:t>Estimular a associação dos usuários para a defesa de seus interesses relativos ao serviço, inclusive para sua fiscalização.</w:t>
      </w:r>
    </w:p>
    <w:p w14:paraId="0E2AAA63" w14:textId="18240413" w:rsidR="009B1F95" w:rsidRPr="00EB0F9B" w:rsidRDefault="009B1F95" w:rsidP="00FE0EC9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  <w:lang w:val="x-none"/>
        </w:rPr>
      </w:pPr>
      <w:r w:rsidRPr="00EB0F9B">
        <w:rPr>
          <w:rFonts w:ascii="Times New Roman" w:hAnsi="Times New Roman" w:cs="Times New Roman"/>
          <w:sz w:val="23"/>
          <w:szCs w:val="23"/>
          <w:lang w:val="x-none"/>
        </w:rPr>
        <w:t>Intervir na prestação do serviço, retomá-lo e extinguir o contrato, nos casos e nas condições previstas em Lei e no Contrato.</w:t>
      </w:r>
    </w:p>
    <w:p w14:paraId="15D742C0" w14:textId="38BCFA76" w:rsidR="009B1F95" w:rsidRPr="00EB0F9B" w:rsidRDefault="009B1F95" w:rsidP="00FE0EC9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  <w:lang w:val="x-none"/>
        </w:rPr>
      </w:pPr>
      <w:r w:rsidRPr="00EB0F9B">
        <w:rPr>
          <w:rFonts w:ascii="Times New Roman" w:hAnsi="Times New Roman" w:cs="Times New Roman"/>
          <w:sz w:val="23"/>
          <w:szCs w:val="23"/>
          <w:lang w:val="x-none"/>
        </w:rPr>
        <w:lastRenderedPageBreak/>
        <w:t>Aplicar as penalidades legais e contratuais.</w:t>
      </w:r>
    </w:p>
    <w:p w14:paraId="7E288EB9" w14:textId="44E14520" w:rsidR="009B1F95" w:rsidRPr="00EB0F9B" w:rsidRDefault="009B1F95" w:rsidP="00FE0EC9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  <w:lang w:val="x-none"/>
        </w:rPr>
      </w:pPr>
      <w:r w:rsidRPr="00EB0F9B">
        <w:rPr>
          <w:rFonts w:ascii="Times New Roman" w:hAnsi="Times New Roman" w:cs="Times New Roman"/>
          <w:sz w:val="23"/>
          <w:szCs w:val="23"/>
          <w:lang w:val="x-none"/>
        </w:rPr>
        <w:t>Notificar o Leiloeiro Oficial, por escrito, fixando-lhe prazo para corrigir defeitos ou irregularidades encontradas na execução do serviço prestado.</w:t>
      </w:r>
    </w:p>
    <w:p w14:paraId="74F83A47" w14:textId="1125C8AD" w:rsidR="009B1F95" w:rsidRPr="00EB0F9B" w:rsidRDefault="009B1F95" w:rsidP="00FE0EC9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  <w:lang w:val="x-none"/>
        </w:rPr>
      </w:pPr>
      <w:r w:rsidRPr="00EB0F9B">
        <w:rPr>
          <w:rFonts w:ascii="Times New Roman" w:hAnsi="Times New Roman" w:cs="Times New Roman"/>
          <w:sz w:val="23"/>
          <w:szCs w:val="23"/>
          <w:lang w:val="x-none"/>
        </w:rPr>
        <w:t>Disponibilizar, caso o bem a ser leiloado seja veículo automotor, a documentação respectiva.</w:t>
      </w:r>
    </w:p>
    <w:p w14:paraId="32F316B2" w14:textId="71904579" w:rsidR="009B1F95" w:rsidRPr="00EB0F9B" w:rsidRDefault="009B1F95" w:rsidP="00FE0EC9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  <w:lang w:val="x-none"/>
        </w:rPr>
      </w:pPr>
      <w:r w:rsidRPr="00EB0F9B">
        <w:rPr>
          <w:rFonts w:ascii="Times New Roman" w:hAnsi="Times New Roman" w:cs="Times New Roman"/>
          <w:sz w:val="23"/>
          <w:szCs w:val="23"/>
          <w:lang w:val="x-none"/>
        </w:rPr>
        <w:t>Disponibilizar relação dos lotes cuja alienação é autorizada, devidamente acompanhada da documentação que os declara inteiramente regulares, livres e desembaraçados de ônus, pendências judiciais ou extrajudiciais, com todas as informações necessárias para venda, tais como: descrição do bem, número de patrimônio, serviços/procedimentos necessários para regularização, débitos existentes, dentre outros;</w:t>
      </w:r>
    </w:p>
    <w:p w14:paraId="3B1300FC" w14:textId="46C62EBD" w:rsidR="009B1F95" w:rsidRPr="00EB0F9B" w:rsidRDefault="009B1F95" w:rsidP="00FE0EC9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  <w:lang w:val="x-none"/>
        </w:rPr>
      </w:pPr>
      <w:r w:rsidRPr="00EB0F9B">
        <w:rPr>
          <w:rFonts w:ascii="Times New Roman" w:hAnsi="Times New Roman" w:cs="Times New Roman"/>
          <w:sz w:val="23"/>
          <w:szCs w:val="23"/>
          <w:lang w:val="x-none"/>
        </w:rPr>
        <w:t>Fixar o preço mínimo de arrematação, conforme a legislação vigente;</w:t>
      </w:r>
    </w:p>
    <w:p w14:paraId="63198ACD" w14:textId="3BFBE532" w:rsidR="009B1F95" w:rsidRPr="00EB0F9B" w:rsidRDefault="009B1F95" w:rsidP="00FE0EC9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  <w:lang w:val="x-none"/>
        </w:rPr>
      </w:pPr>
      <w:r w:rsidRPr="00EB0F9B">
        <w:rPr>
          <w:rFonts w:ascii="Times New Roman" w:hAnsi="Times New Roman" w:cs="Times New Roman"/>
          <w:sz w:val="23"/>
          <w:szCs w:val="23"/>
          <w:lang w:val="x-none"/>
        </w:rPr>
        <w:t>Providenciar as publicações no Diário Eletrônico Oficial da Municipalidade e site oficial da Municipalidade, bem como, em jornal de circulação de que trata o art. 174, § 2º, inciso III, da Lei n° 14.133/21; o) Formalizar a venda dos lotes arrematados com os respectivos compradores;</w:t>
      </w:r>
    </w:p>
    <w:p w14:paraId="65EED0B5" w14:textId="49949584" w:rsidR="009B1F95" w:rsidRPr="00EB0F9B" w:rsidRDefault="009B1F95" w:rsidP="00FE0EC9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  <w:lang w:val="x-none"/>
        </w:rPr>
      </w:pPr>
      <w:r w:rsidRPr="00EB0F9B">
        <w:rPr>
          <w:rFonts w:ascii="Times New Roman" w:hAnsi="Times New Roman" w:cs="Times New Roman"/>
          <w:sz w:val="23"/>
          <w:szCs w:val="23"/>
          <w:lang w:val="x-none"/>
        </w:rPr>
        <w:t>Notificar, por escrito, a Contratada da ocorrência de quaisquer irregularidades constatadas na execução dos serviços;</w:t>
      </w:r>
    </w:p>
    <w:p w14:paraId="15C9A1B9" w14:textId="6438C770" w:rsidR="009B1F95" w:rsidRPr="00EB0F9B" w:rsidRDefault="009B1F95" w:rsidP="00FE0EC9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  <w:lang w:val="x-none"/>
        </w:rPr>
      </w:pPr>
      <w:r w:rsidRPr="00EB0F9B">
        <w:rPr>
          <w:rFonts w:ascii="Times New Roman" w:hAnsi="Times New Roman" w:cs="Times New Roman"/>
          <w:sz w:val="23"/>
          <w:szCs w:val="23"/>
          <w:lang w:val="x-none"/>
        </w:rPr>
        <w:t>Autorizar, a Comissão de Leilão para providenciar a avaliação e fixar o preço mínimo de arrematação ou quando necessário, poderá a Comissão do Leilão, solicitar a contratação de empresa especializada para tal atividade, que providenciará a avaliação, o levantamento dos lotes e os registros das respectivas informações necessárias para apresentar a indicação dos valores mínimos de arrematação dos lotes;</w:t>
      </w:r>
    </w:p>
    <w:p w14:paraId="48D4C14F" w14:textId="7147EF66" w:rsidR="009B1F95" w:rsidRPr="00EB0F9B" w:rsidRDefault="009B1F95" w:rsidP="00FE0EC9">
      <w:pPr>
        <w:pStyle w:val="PargrafodaLista"/>
        <w:numPr>
          <w:ilvl w:val="1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  <w:lang w:val="x-none"/>
        </w:rPr>
      </w:pPr>
      <w:r w:rsidRPr="00EB0F9B">
        <w:rPr>
          <w:rFonts w:ascii="Times New Roman" w:hAnsi="Times New Roman" w:cs="Times New Roman"/>
          <w:sz w:val="23"/>
          <w:szCs w:val="23"/>
          <w:lang w:val="x-none"/>
        </w:rPr>
        <w:t>Fiscalizar, através da Comissão de Leilão designada para este fim, a exata execução do Contrato, informando à Autoridade competente eventuais irregularidades na sua execução, para a adoção das providências legalmente estabelecidas.</w:t>
      </w:r>
    </w:p>
    <w:p w14:paraId="296AE582" w14:textId="6633898C" w:rsidR="00473C9B" w:rsidRPr="00EB0F9B" w:rsidRDefault="00473C9B" w:rsidP="00FE0EC9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val="pt-BR" w:eastAsia="pt-BR"/>
        </w:rPr>
      </w:pPr>
      <w:r w:rsidRPr="00EB0F9B">
        <w:rPr>
          <w:rFonts w:ascii="Times New Roman" w:eastAsia="Times New Roman" w:hAnsi="Times New Roman" w:cs="Times New Roman"/>
          <w:b/>
          <w:sz w:val="23"/>
          <w:szCs w:val="23"/>
          <w:lang w:val="pt-BR" w:eastAsia="pt-BR"/>
        </w:rPr>
        <w:t xml:space="preserve">CLÁUSULA NONA - OBRIGAÇÕES DO </w:t>
      </w:r>
      <w:r w:rsidR="00B62655" w:rsidRPr="00EB0F9B">
        <w:rPr>
          <w:rFonts w:ascii="Times New Roman" w:eastAsia="Times New Roman" w:hAnsi="Times New Roman" w:cs="Times New Roman"/>
          <w:b/>
          <w:sz w:val="23"/>
          <w:szCs w:val="23"/>
          <w:lang w:val="pt-BR" w:eastAsia="pt-BR"/>
        </w:rPr>
        <w:t>CREDENCIADO</w:t>
      </w:r>
      <w:r w:rsidRPr="00EB0F9B">
        <w:rPr>
          <w:rFonts w:ascii="Times New Roman" w:eastAsia="Times New Roman" w:hAnsi="Times New Roman" w:cs="Times New Roman"/>
          <w:b/>
          <w:sz w:val="23"/>
          <w:szCs w:val="23"/>
          <w:lang w:val="pt-BR" w:eastAsia="pt-BR"/>
        </w:rPr>
        <w:t xml:space="preserve"> </w:t>
      </w:r>
    </w:p>
    <w:p w14:paraId="377CB281" w14:textId="5A2DACD0" w:rsidR="00E34CCC" w:rsidRPr="00EB0F9B" w:rsidRDefault="00E34CCC" w:rsidP="00FE0EC9">
      <w:pPr>
        <w:pStyle w:val="PargrafodaLista"/>
        <w:numPr>
          <w:ilvl w:val="1"/>
          <w:numId w:val="27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pt-BR" w:eastAsia="x-none"/>
        </w:rPr>
      </w:pPr>
      <w:r w:rsidRPr="00EB0F9B">
        <w:rPr>
          <w:rFonts w:ascii="Times New Roman" w:eastAsia="Times New Roman" w:hAnsi="Times New Roman" w:cs="Times New Roman"/>
          <w:sz w:val="23"/>
          <w:szCs w:val="23"/>
          <w:lang w:val="pt-BR" w:eastAsia="x-none"/>
        </w:rPr>
        <w:t xml:space="preserve">As obrigações do Leiloeiro são as constantes </w:t>
      </w:r>
      <w:r w:rsidR="0032105A" w:rsidRPr="00EB0F9B">
        <w:rPr>
          <w:rFonts w:ascii="Times New Roman" w:eastAsia="Times New Roman" w:hAnsi="Times New Roman" w:cs="Times New Roman"/>
          <w:sz w:val="23"/>
          <w:szCs w:val="23"/>
          <w:lang w:val="pt-BR" w:eastAsia="x-none"/>
        </w:rPr>
        <w:t>no</w:t>
      </w:r>
      <w:r w:rsidRPr="00EB0F9B">
        <w:rPr>
          <w:rFonts w:ascii="Times New Roman" w:eastAsia="Times New Roman" w:hAnsi="Times New Roman" w:cs="Times New Roman"/>
          <w:sz w:val="23"/>
          <w:szCs w:val="23"/>
          <w:lang w:val="pt-BR" w:eastAsia="x-none"/>
        </w:rPr>
        <w:t xml:space="preserve"> Termo de Referência e seus anexos, além das previstas no Decreto Federal n° 21.981, de 19 de outubro de 1932, dentre as quais: </w:t>
      </w:r>
    </w:p>
    <w:p w14:paraId="750C4192" w14:textId="77777777" w:rsidR="003966D2" w:rsidRPr="00EB0F9B" w:rsidRDefault="00E34CCC" w:rsidP="00FE0EC9">
      <w:pPr>
        <w:pStyle w:val="PargrafodaLista"/>
        <w:numPr>
          <w:ilvl w:val="2"/>
          <w:numId w:val="27"/>
        </w:numPr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  <w:lang w:val="pt-BR" w:eastAsia="x-none"/>
        </w:rPr>
      </w:pPr>
      <w:r w:rsidRPr="00EB0F9B">
        <w:rPr>
          <w:rFonts w:ascii="Times New Roman" w:eastAsia="Times New Roman" w:hAnsi="Times New Roman" w:cs="Times New Roman"/>
          <w:sz w:val="23"/>
          <w:szCs w:val="23"/>
          <w:lang w:val="pt-BR" w:eastAsia="x-none"/>
        </w:rPr>
        <w:t xml:space="preserve">Realizar os Leilões de acordo com expressa determinação da Municipalidade em datas aprazadas, divulgando-se os respectivos editais com antecedência mínima de 15 (quinze) dias úteis, se outro não for o prazo estabelecido pela Administração. </w:t>
      </w:r>
    </w:p>
    <w:p w14:paraId="75C20290" w14:textId="77777777" w:rsidR="003D068B" w:rsidRPr="00EB0F9B" w:rsidRDefault="00E34CCC" w:rsidP="00FE0EC9">
      <w:pPr>
        <w:pStyle w:val="PargrafodaLista"/>
        <w:numPr>
          <w:ilvl w:val="2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Divulgar o Leilão em endereço eletrônico e confeccionar material publicitário impresso sobre o Leilão, sob forma de cartilha, livreto, folheto, dentre outros, identificando sempre a melhor forma de publicidade de acordo com a natureza do bem ofertado e os possíveis interessados em adquiri-los, além de divulgar o Leilão em jornal de grande circulação regional, no site oficial da Municipalidade e no Diário Eletrônico Oficial da Municipalidade (estes dois últimos, por intermédio da Comissão de Contratação), dentre outros meios de divulgação que julgar pertinentes, fazendo constar, na divulgação </w:t>
      </w:r>
      <w:r w:rsidRPr="00EB0F9B">
        <w:rPr>
          <w:rFonts w:ascii="Times New Roman" w:hAnsi="Times New Roman" w:cs="Times New Roman"/>
          <w:sz w:val="23"/>
          <w:szCs w:val="23"/>
        </w:rPr>
        <w:lastRenderedPageBreak/>
        <w:t xml:space="preserve">do evento na Internet e no material impresso, a descrição dos bens ofertados, existência de débitos, taxas, impostos, ônus, multas e gravames, incidentes sobre os bens, informações sobre o Leilão, telefones para contato e demais esclarecimentos que se fizerem necessários. </w:t>
      </w:r>
    </w:p>
    <w:p w14:paraId="131BA2EB" w14:textId="77777777" w:rsidR="003D068B" w:rsidRPr="00EB0F9B" w:rsidRDefault="00E34CCC" w:rsidP="00FE0EC9">
      <w:pPr>
        <w:pStyle w:val="PargrafodaLista"/>
        <w:numPr>
          <w:ilvl w:val="2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Realizar os Leilões na modalidade presencial e online simultaneamente via internet, com projeção de fotografias dos bens, contendo informações e imagens dos bens, permitindo o recebimento de lances, por meio eletrônico, de forma simultânea aos lances presenciais.</w:t>
      </w:r>
    </w:p>
    <w:p w14:paraId="2D81D87C" w14:textId="77777777" w:rsidR="003D068B" w:rsidRPr="00EB0F9B" w:rsidRDefault="00E34CCC" w:rsidP="00FE0EC9">
      <w:pPr>
        <w:pStyle w:val="PargrafodaLista"/>
        <w:numPr>
          <w:ilvl w:val="2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Tornar conhecidas, quando da publicidade dos eventos, as condições das vendas, formas de pagamento, entrega dos bens, estado, qualidade e quantidade.</w:t>
      </w:r>
    </w:p>
    <w:p w14:paraId="05CD373C" w14:textId="77777777" w:rsidR="003D068B" w:rsidRPr="00EB0F9B" w:rsidRDefault="00E34CCC" w:rsidP="00FE0EC9">
      <w:pPr>
        <w:pStyle w:val="PargrafodaLista"/>
        <w:numPr>
          <w:ilvl w:val="2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Convocado pela Municipalidade, elaborar a minuta de Edital de Leilão, com auxílio da Comissão de Contratação, fazendo constar a descrição e lugar onde se encontram os bens a serem leiloados.</w:t>
      </w:r>
      <w:r w:rsidR="003D068B" w:rsidRPr="00EB0F9B">
        <w:rPr>
          <w:rFonts w:ascii="Times New Roman" w:hAnsi="Times New Roman" w:cs="Times New Roman"/>
          <w:sz w:val="23"/>
          <w:szCs w:val="23"/>
        </w:rPr>
        <w:t xml:space="preserve"> </w:t>
      </w:r>
      <w:r w:rsidRPr="00EB0F9B">
        <w:rPr>
          <w:rFonts w:ascii="Times New Roman" w:hAnsi="Times New Roman" w:cs="Times New Roman"/>
          <w:sz w:val="23"/>
          <w:szCs w:val="23"/>
        </w:rPr>
        <w:t>A referida minuta será objeto de análise e validação da Procuradoria Jurídica da Municipalidade.</w:t>
      </w:r>
    </w:p>
    <w:p w14:paraId="4F664FAF" w14:textId="77777777" w:rsidR="003D068B" w:rsidRPr="00EB0F9B" w:rsidRDefault="00E34CCC" w:rsidP="00FE0EC9">
      <w:pPr>
        <w:pStyle w:val="PargrafodaLista"/>
        <w:numPr>
          <w:ilvl w:val="2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Avaliar e elaborar documento de avaliação com ficha e registro fotográfico dos bens, contendo o valor do lance inicial esmado para venda, dentro do prazo acordado com a Municipalidade, tomando por base o valor levantado pela Comissão de Leilão, conforme pesquisa feita junto a outros Leiloeiros Oficiais.</w:t>
      </w:r>
    </w:p>
    <w:p w14:paraId="349D99D5" w14:textId="77777777" w:rsidR="003D068B" w:rsidRPr="00EB0F9B" w:rsidRDefault="00E34CCC" w:rsidP="00FE0EC9">
      <w:pPr>
        <w:pStyle w:val="PargrafodaLista"/>
        <w:numPr>
          <w:ilvl w:val="2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Emir nota de venda para cada lote, a fim de atestar a arrematação do bem por meio de Leilão público.</w:t>
      </w:r>
    </w:p>
    <w:p w14:paraId="34163BE1" w14:textId="77777777" w:rsidR="003D068B" w:rsidRPr="00EB0F9B" w:rsidRDefault="00E34CCC" w:rsidP="00FE0EC9">
      <w:pPr>
        <w:pStyle w:val="PargrafodaLista"/>
        <w:numPr>
          <w:ilvl w:val="2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Depositar em conta definida pela Municipalidade, dentro de 5 (cinco) dias corridos, o valor da alienação, se recebida diretamente. </w:t>
      </w:r>
    </w:p>
    <w:p w14:paraId="0893D0C9" w14:textId="7F8BDFD0" w:rsidR="00E34CCC" w:rsidRPr="00EB0F9B" w:rsidRDefault="00E34CCC" w:rsidP="00FE0EC9">
      <w:pPr>
        <w:pStyle w:val="PargrafodaLista"/>
        <w:numPr>
          <w:ilvl w:val="2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Apresentar a Ata de realização do leilão até 7 (sete) dias após a realização da sessão pública do certame, contendo, dentre outras as seguintes informações:</w:t>
      </w:r>
    </w:p>
    <w:p w14:paraId="5DB71FE6" w14:textId="77777777" w:rsidR="003D068B" w:rsidRPr="00EB0F9B" w:rsidRDefault="00E34CCC" w:rsidP="00FE0EC9">
      <w:pPr>
        <w:pStyle w:val="PargrafodaLista"/>
        <w:numPr>
          <w:ilvl w:val="3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nome completo/razão social, CPF/CNPJ e documento de identificação do arrematante vencedor;</w:t>
      </w:r>
    </w:p>
    <w:p w14:paraId="66CACC7A" w14:textId="77777777" w:rsidR="003D068B" w:rsidRPr="00EB0F9B" w:rsidRDefault="00E34CCC" w:rsidP="00FE0EC9">
      <w:pPr>
        <w:pStyle w:val="PargrafodaLista"/>
        <w:numPr>
          <w:ilvl w:val="3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endereço e telefone do arrematante vencedor;</w:t>
      </w:r>
    </w:p>
    <w:p w14:paraId="3ECE92BD" w14:textId="77777777" w:rsidR="003D068B" w:rsidRPr="00EB0F9B" w:rsidRDefault="00E34CCC" w:rsidP="00FE0EC9">
      <w:pPr>
        <w:pStyle w:val="PargrafodaLista"/>
        <w:numPr>
          <w:ilvl w:val="3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valor do preço mínimo;</w:t>
      </w:r>
    </w:p>
    <w:p w14:paraId="5A25C604" w14:textId="77777777" w:rsidR="003D068B" w:rsidRPr="00EB0F9B" w:rsidRDefault="00E34CCC" w:rsidP="00FE0EC9">
      <w:pPr>
        <w:pStyle w:val="PargrafodaLista"/>
        <w:numPr>
          <w:ilvl w:val="3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valor do lance vencedor ofertado.</w:t>
      </w:r>
    </w:p>
    <w:p w14:paraId="430F3314" w14:textId="34451AE6" w:rsidR="00E34CCC" w:rsidRPr="00EB0F9B" w:rsidRDefault="00E34CCC" w:rsidP="00FE0EC9">
      <w:pPr>
        <w:pStyle w:val="PargrafodaLista"/>
        <w:numPr>
          <w:ilvl w:val="3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quantidade de lotes não arrematados, quantidade de lotes em condicional, se houver. A Comissão Especial de Leilão, poderá autorizar a venda do lote não pago pelo 1º colocado pelo mesmo valor do lance vencedor aos suplentes cadastrados. Não havendo interesse dos suplentes consultados, a Comissão poderá autorizar a venda pelo mesmo valor do último lance do suplente consultado. </w:t>
      </w:r>
    </w:p>
    <w:p w14:paraId="6CD1F9F7" w14:textId="77777777" w:rsidR="003D068B" w:rsidRPr="00EB0F9B" w:rsidRDefault="00E34CCC" w:rsidP="00FE0EC9">
      <w:pPr>
        <w:pStyle w:val="PargrafodaLista"/>
        <w:numPr>
          <w:ilvl w:val="2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Entregar orientação, por escrito, ao arrematante, quando se tratar de venda de veículo automotor, informando que ele deverá transferir a titularidade da documentação para o seu nome no prazo de até 20 (vinte) dias corridos da data informada no documento de transferência, cumprindo, se necessária, as exigências legais do DETRAN. </w:t>
      </w:r>
    </w:p>
    <w:p w14:paraId="41425414" w14:textId="77777777" w:rsidR="003D068B" w:rsidRPr="00EB0F9B" w:rsidRDefault="00E34CCC" w:rsidP="00FE0EC9">
      <w:pPr>
        <w:pStyle w:val="PargrafodaLista"/>
        <w:numPr>
          <w:ilvl w:val="2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lastRenderedPageBreak/>
        <w:t xml:space="preserve">Não utilizar o nome do Município, em quaisquer atividades de divulgação profissional, como por exemplo, em cartões de visita, anúncios diversos, impressos, com exceção da divulgação do evento específico. </w:t>
      </w:r>
    </w:p>
    <w:p w14:paraId="3389C73F" w14:textId="77777777" w:rsidR="003D068B" w:rsidRPr="00EB0F9B" w:rsidRDefault="00E34CCC" w:rsidP="00FE0EC9">
      <w:pPr>
        <w:pStyle w:val="PargrafodaLista"/>
        <w:numPr>
          <w:ilvl w:val="2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Atender interessados, mantendo plantões inclusive no final de semana, devendo conduzir o Leilão e responsabilizar-se por todos os atos administrativos de sua competência até o encerramento, com emissão de autorização para a retirada dos bens arrematados e pagos, acompanhamento de entrega dos bens pela Coordenação de Patrimônio e prestação de contas, além de dirimir as dúvidas dos arrematantes com relação ao pagamento e transferência de propriedade. </w:t>
      </w:r>
    </w:p>
    <w:p w14:paraId="688F7459" w14:textId="77777777" w:rsidR="003D068B" w:rsidRPr="00EB0F9B" w:rsidRDefault="00E34CCC" w:rsidP="00FE0EC9">
      <w:pPr>
        <w:pStyle w:val="PargrafodaLista"/>
        <w:numPr>
          <w:ilvl w:val="2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Juntamente com a ata, apresentar cópia dos Autos de Arrematação e dos recibos das comissões pagas pelos arrematantes vencedores.</w:t>
      </w:r>
    </w:p>
    <w:p w14:paraId="6492356A" w14:textId="77777777" w:rsidR="003D068B" w:rsidRPr="00EB0F9B" w:rsidRDefault="00E34CCC" w:rsidP="00FE0EC9">
      <w:pPr>
        <w:pStyle w:val="PargrafodaLista"/>
        <w:numPr>
          <w:ilvl w:val="2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Responsabilizar-se por todo e qualquer dano que causar à Administração ou a terceiros, ainda que culposo, decorrente da sua atividade, devendo adotar as providências saneadoras de forma imediata.</w:t>
      </w:r>
    </w:p>
    <w:p w14:paraId="14582226" w14:textId="77777777" w:rsidR="003D068B" w:rsidRPr="00EB0F9B" w:rsidRDefault="00E34CCC" w:rsidP="00FE0EC9">
      <w:pPr>
        <w:pStyle w:val="PargrafodaLista"/>
        <w:numPr>
          <w:ilvl w:val="2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Disponibilizar recursos humanos para fins da execução da sua atividade, devidamente identificados por meio de crachá. </w:t>
      </w:r>
    </w:p>
    <w:p w14:paraId="6B2ACE97" w14:textId="77777777" w:rsidR="003D068B" w:rsidRPr="00EB0F9B" w:rsidRDefault="00E34CCC" w:rsidP="00FE0EC9">
      <w:pPr>
        <w:pStyle w:val="PargrafodaLista"/>
        <w:numPr>
          <w:ilvl w:val="2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Cumprir rigorosamente toda a legislação aplicável à execução do Leilão. </w:t>
      </w:r>
    </w:p>
    <w:p w14:paraId="19748318" w14:textId="77777777" w:rsidR="003D068B" w:rsidRPr="00EB0F9B" w:rsidRDefault="00E34CCC" w:rsidP="00FE0EC9">
      <w:pPr>
        <w:pStyle w:val="PargrafodaLista"/>
        <w:numPr>
          <w:ilvl w:val="2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Manter, durante toda a execução do contrato, em compatibilidade com as obrigações por ele assumidas, todas as condições de habilitação e qualificação exigidas quando do credenciamento. </w:t>
      </w:r>
    </w:p>
    <w:p w14:paraId="76EBC8C8" w14:textId="77777777" w:rsidR="003D068B" w:rsidRPr="00EB0F9B" w:rsidRDefault="00E34CCC" w:rsidP="00FE0EC9">
      <w:pPr>
        <w:pStyle w:val="PargrafodaLista"/>
        <w:numPr>
          <w:ilvl w:val="2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Receber diretamente a comissão paga pelo arrematante do bem no Leilão Oficial, na proporção de 5% (cinco por cento) do valor do lance vencedor, conforme parágrafo único do art. 24 do Decreto nº 21.981, de 19.10.32. </w:t>
      </w:r>
    </w:p>
    <w:p w14:paraId="1C42D49D" w14:textId="77777777" w:rsidR="003D068B" w:rsidRPr="00EB0F9B" w:rsidRDefault="00E34CCC" w:rsidP="00FE0EC9">
      <w:pPr>
        <w:pStyle w:val="PargrafodaLista"/>
        <w:numPr>
          <w:ilvl w:val="2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O Leiloeiro obriga-se a restituir ao arrematante o valor pago a título de comissão, sem direito a reembolso, nos casos em que a contratação da venda não possa ser concluída, por responsabilidade do Leiloeiro. </w:t>
      </w:r>
    </w:p>
    <w:p w14:paraId="4B222E9C" w14:textId="77777777" w:rsidR="003D068B" w:rsidRPr="00EB0F9B" w:rsidRDefault="00E34CCC" w:rsidP="00FE0EC9">
      <w:pPr>
        <w:pStyle w:val="PargrafodaLista"/>
        <w:numPr>
          <w:ilvl w:val="2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O Leiloeiro somente receberá a comissão referente aos bens efetivamente vendidos. </w:t>
      </w:r>
    </w:p>
    <w:p w14:paraId="5E32EC67" w14:textId="77777777" w:rsidR="009450F2" w:rsidRPr="00EB0F9B" w:rsidRDefault="00E34CCC" w:rsidP="00FE0EC9">
      <w:pPr>
        <w:pStyle w:val="PargrafodaLista"/>
        <w:numPr>
          <w:ilvl w:val="2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Administrar a liberação dos bens aos arrematantes após o efetivo pagamento e crédito na conta bancária do Poder Executivo municipal de </w:t>
      </w:r>
      <w:r w:rsidR="003D068B" w:rsidRPr="00EB0F9B">
        <w:rPr>
          <w:rFonts w:ascii="Times New Roman" w:hAnsi="Times New Roman" w:cs="Times New Roman"/>
          <w:sz w:val="23"/>
          <w:szCs w:val="23"/>
        </w:rPr>
        <w:t>Catuji/MG</w:t>
      </w:r>
      <w:r w:rsidRPr="00EB0F9B">
        <w:rPr>
          <w:rFonts w:ascii="Times New Roman" w:hAnsi="Times New Roman" w:cs="Times New Roman"/>
          <w:sz w:val="23"/>
          <w:szCs w:val="23"/>
        </w:rPr>
        <w:t>.</w:t>
      </w:r>
    </w:p>
    <w:p w14:paraId="19FEE63F" w14:textId="77777777" w:rsidR="009450F2" w:rsidRPr="00EB0F9B" w:rsidRDefault="00E34CCC" w:rsidP="00FE0EC9">
      <w:pPr>
        <w:pStyle w:val="PargrafodaLista"/>
        <w:numPr>
          <w:ilvl w:val="2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Fazer a conferência dos bens removidos (estado de conservação, dentre outros), tirar fotos dos bens, cópia de documentos comprobatórios da propriedade e levantamento de ônus.</w:t>
      </w:r>
    </w:p>
    <w:p w14:paraId="1F22D29D" w14:textId="77777777" w:rsidR="009450F2" w:rsidRPr="00EB0F9B" w:rsidRDefault="00E34CCC" w:rsidP="00FE0EC9">
      <w:pPr>
        <w:pStyle w:val="PargrafodaLista"/>
        <w:numPr>
          <w:ilvl w:val="2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Auxiliar os integrantes da Comissão Especial de Leilão na avaliação de bens inservíveis, quando determinado pela Municipalidade.</w:t>
      </w:r>
    </w:p>
    <w:p w14:paraId="6EB79AEE" w14:textId="77777777" w:rsidR="009450F2" w:rsidRPr="00EB0F9B" w:rsidRDefault="00E34CCC" w:rsidP="00FE0EC9">
      <w:pPr>
        <w:pStyle w:val="PargrafodaLista"/>
        <w:numPr>
          <w:ilvl w:val="2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Prestar contas à Municipalidade no prazo máximo de 30 (trinta) dias corridos, contados a partir do primeiro dia útil após a data de realização do Leilão, juntamente com o relatório de detalhamento do Leilão.</w:t>
      </w:r>
    </w:p>
    <w:p w14:paraId="1FC8E4CF" w14:textId="77777777" w:rsidR="009450F2" w:rsidRPr="00EB0F9B" w:rsidRDefault="00E34CCC" w:rsidP="00FE0EC9">
      <w:pPr>
        <w:pStyle w:val="PargrafodaLista"/>
        <w:numPr>
          <w:ilvl w:val="2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Informar à Municipalidade qualquer anormalidade que verificar na execução dos serviços, </w:t>
      </w:r>
      <w:r w:rsidRPr="00EB0F9B">
        <w:rPr>
          <w:rFonts w:ascii="Times New Roman" w:hAnsi="Times New Roman" w:cs="Times New Roman"/>
          <w:sz w:val="23"/>
          <w:szCs w:val="23"/>
        </w:rPr>
        <w:lastRenderedPageBreak/>
        <w:t>mesmo que estes não sejam de sua competência.</w:t>
      </w:r>
    </w:p>
    <w:p w14:paraId="6EE8D192" w14:textId="77777777" w:rsidR="009450F2" w:rsidRPr="00EB0F9B" w:rsidRDefault="00E34CCC" w:rsidP="00FE0EC9">
      <w:pPr>
        <w:pStyle w:val="PargrafodaLista"/>
        <w:numPr>
          <w:ilvl w:val="2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Responder, perante o Contratante, pela perda ou extravio de fundos em dinheiro, existentes em seu poder, ainda que o dano provenha de caso fortuito ou de forca maior.</w:t>
      </w:r>
    </w:p>
    <w:p w14:paraId="286F6CFF" w14:textId="77777777" w:rsidR="003335C2" w:rsidRPr="00EB0F9B" w:rsidRDefault="00E34CCC" w:rsidP="00FE0EC9">
      <w:pPr>
        <w:pStyle w:val="PargrafodaLista"/>
        <w:numPr>
          <w:ilvl w:val="2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Guardar sigilo das informações que lhe serão repassadas para realização do certame, e responsabilizar-se, perante o Contratante, pela indenização de eventuais danos decorrentes da quebra do sigilo dessas informações, ou pelo seu uso indevido.</w:t>
      </w:r>
    </w:p>
    <w:p w14:paraId="3E751569" w14:textId="77777777" w:rsidR="003335C2" w:rsidRPr="00EB0F9B" w:rsidRDefault="003335C2" w:rsidP="00FE0EC9">
      <w:pPr>
        <w:pStyle w:val="PargrafodaLista"/>
        <w:numPr>
          <w:ilvl w:val="2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  <w:lang w:val="pt-BR"/>
        </w:rPr>
        <w:t xml:space="preserve">Prestar os esclarecimentos que lhe forem solicitados e atender prontamente às reclamações sobre seus serviços. </w:t>
      </w:r>
    </w:p>
    <w:p w14:paraId="2B4A5526" w14:textId="6C100AA4" w:rsidR="00E34CCC" w:rsidRPr="00EB0F9B" w:rsidRDefault="003335C2" w:rsidP="00FE0EC9">
      <w:pPr>
        <w:pStyle w:val="PargrafodaLista"/>
        <w:numPr>
          <w:ilvl w:val="2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  <w:lang w:val="pt-BR"/>
        </w:rPr>
        <w:t>Fornecer aos clientes/arrematantes, arrematação (duas vias) contendo:</w:t>
      </w:r>
    </w:p>
    <w:p w14:paraId="5911BBD1" w14:textId="77777777" w:rsidR="003335C2" w:rsidRPr="00EB0F9B" w:rsidRDefault="00E34CCC" w:rsidP="00FE0EC9">
      <w:pPr>
        <w:pStyle w:val="PargrafodaLista"/>
        <w:numPr>
          <w:ilvl w:val="3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Discriminação do lote e seu correspondente número de identificação; </w:t>
      </w:r>
    </w:p>
    <w:p w14:paraId="605AECEB" w14:textId="77777777" w:rsidR="003335C2" w:rsidRPr="00EB0F9B" w:rsidRDefault="00E34CCC" w:rsidP="00FE0EC9">
      <w:pPr>
        <w:pStyle w:val="PargrafodaLista"/>
        <w:numPr>
          <w:ilvl w:val="3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O valor da arrematação e os encargos financeiros; </w:t>
      </w:r>
    </w:p>
    <w:p w14:paraId="13C15EAF" w14:textId="77777777" w:rsidR="003335C2" w:rsidRPr="00EB0F9B" w:rsidRDefault="00E34CCC" w:rsidP="00FE0EC9">
      <w:pPr>
        <w:pStyle w:val="PargrafodaLista"/>
        <w:numPr>
          <w:ilvl w:val="3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O nome do arrematante, RG e seu CPF; </w:t>
      </w:r>
    </w:p>
    <w:p w14:paraId="1E212C31" w14:textId="4E259B3D" w:rsidR="00E34CCC" w:rsidRPr="00EB0F9B" w:rsidRDefault="00E34CCC" w:rsidP="00FE0EC9">
      <w:pPr>
        <w:pStyle w:val="PargrafodaLista"/>
        <w:numPr>
          <w:ilvl w:val="3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Dados para o depósito bancário, guias de pagamentos/recolhimentos ou código de barras, direcionando o pagamento dos valores devidos pelos arrematantes. </w:t>
      </w:r>
    </w:p>
    <w:p w14:paraId="17606121" w14:textId="77777777" w:rsidR="003335C2" w:rsidRPr="00EB0F9B" w:rsidRDefault="00E34CCC" w:rsidP="00FE0EC9">
      <w:pPr>
        <w:pStyle w:val="PargrafodaLista"/>
        <w:numPr>
          <w:ilvl w:val="2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Prestar os esclarecimentos que lhe forem solicitados e atender prontamente às reclamações sobre seus serviços. </w:t>
      </w:r>
    </w:p>
    <w:p w14:paraId="0499DD18" w14:textId="77777777" w:rsidR="003335C2" w:rsidRPr="00EB0F9B" w:rsidRDefault="00E34CCC" w:rsidP="00FE0EC9">
      <w:pPr>
        <w:pStyle w:val="PargrafodaLista"/>
        <w:numPr>
          <w:ilvl w:val="2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Fornecer aos clientes/arrematantes, arrematação (duas vias) contendo: </w:t>
      </w:r>
    </w:p>
    <w:p w14:paraId="50F22022" w14:textId="77777777" w:rsidR="003335C2" w:rsidRPr="00EB0F9B" w:rsidRDefault="00E34CCC" w:rsidP="00FE0EC9">
      <w:pPr>
        <w:pStyle w:val="PargrafodaLista"/>
        <w:numPr>
          <w:ilvl w:val="2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Envidar esforços no sentido de efetuar a venda de todos os lotes. </w:t>
      </w:r>
    </w:p>
    <w:p w14:paraId="1AB8F00B" w14:textId="77777777" w:rsidR="003335C2" w:rsidRPr="00EB0F9B" w:rsidRDefault="00E34CCC" w:rsidP="00FE0EC9">
      <w:pPr>
        <w:pStyle w:val="PargrafodaLista"/>
        <w:numPr>
          <w:ilvl w:val="2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Arcar com todos os encargos e obrigações trabalhistas, previdenciárias, fiscais, tributárias e comerciais, resultantes da execução do Contrato, bem como pelo pagamento de quaisquer preços públicos que se tenham por devidos</w:t>
      </w:r>
      <w:r w:rsidR="003335C2" w:rsidRPr="00EB0F9B">
        <w:rPr>
          <w:rFonts w:ascii="Times New Roman" w:hAnsi="Times New Roman" w:cs="Times New Roman"/>
          <w:sz w:val="23"/>
          <w:szCs w:val="23"/>
        </w:rPr>
        <w:t>.</w:t>
      </w:r>
    </w:p>
    <w:p w14:paraId="3D6AF286" w14:textId="3D91BAD2" w:rsidR="00E34CCC" w:rsidRPr="00EB0F9B" w:rsidRDefault="00E34CCC" w:rsidP="00FE0EC9">
      <w:pPr>
        <w:pStyle w:val="PargrafodaLista"/>
        <w:numPr>
          <w:ilvl w:val="2"/>
          <w:numId w:val="2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Acusar o recebimento de tudo que lhe for confiado para alienação.</w:t>
      </w:r>
    </w:p>
    <w:p w14:paraId="580D32CE" w14:textId="7D401692" w:rsidR="009D6D02" w:rsidRPr="00EB0F9B" w:rsidRDefault="009D6D02" w:rsidP="00FE0EC9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B0F9B">
        <w:rPr>
          <w:rFonts w:ascii="Times New Roman" w:hAnsi="Times New Roman" w:cs="Times New Roman"/>
          <w:b/>
          <w:sz w:val="23"/>
          <w:szCs w:val="23"/>
        </w:rPr>
        <w:t xml:space="preserve">CLÁUSULA DÉCIMA – GARANTIA DE EXECUÇÃO </w:t>
      </w:r>
    </w:p>
    <w:p w14:paraId="2083DECD" w14:textId="12FE87B2" w:rsidR="00473C9B" w:rsidRPr="00EB0F9B" w:rsidRDefault="009D6D02" w:rsidP="00FE0EC9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Não haverá exigência de garantia contratual da execução.</w:t>
      </w:r>
    </w:p>
    <w:p w14:paraId="78EDC5C5" w14:textId="07E0C612" w:rsidR="00FA50E2" w:rsidRPr="00EB0F9B" w:rsidRDefault="00E3350E" w:rsidP="00FE0EC9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B0F9B">
        <w:rPr>
          <w:rFonts w:ascii="Times New Roman" w:hAnsi="Times New Roman" w:cs="Times New Roman"/>
          <w:b/>
          <w:sz w:val="23"/>
          <w:szCs w:val="23"/>
        </w:rPr>
        <w:t>CLÁUSULA DÉCIMA PRIMEIRA - DAS SANÇÕES ADMINISTRATIVAS</w:t>
      </w:r>
    </w:p>
    <w:p w14:paraId="300A40BA" w14:textId="6723F9CE" w:rsidR="009F4B0A" w:rsidRPr="00EB0F9B" w:rsidRDefault="009D6D02" w:rsidP="00FE0EC9">
      <w:pPr>
        <w:pStyle w:val="PargrafodaLista"/>
        <w:widowControl/>
        <w:numPr>
          <w:ilvl w:val="1"/>
          <w:numId w:val="10"/>
        </w:numPr>
        <w:autoSpaceDE/>
        <w:autoSpaceDN/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Comete infração administrativa, nos termos da lei, o interessado que, com dolo ou culpa:</w:t>
      </w:r>
    </w:p>
    <w:p w14:paraId="0E0CA213" w14:textId="13FF709F" w:rsidR="009F4B0A" w:rsidRPr="00EB0F9B" w:rsidRDefault="009D6D02" w:rsidP="00FE0EC9">
      <w:pPr>
        <w:pStyle w:val="PargrafodaLista"/>
        <w:widowControl/>
        <w:numPr>
          <w:ilvl w:val="2"/>
          <w:numId w:val="10"/>
        </w:numPr>
        <w:autoSpaceDE/>
        <w:autoSpaceDN/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deixar de entregar a documentação exigida para o certame ou não entregar qualquer documento que tenha sido solicitado pela comissão de contratação;</w:t>
      </w:r>
    </w:p>
    <w:p w14:paraId="39974FC2" w14:textId="77777777" w:rsidR="009F4B0A" w:rsidRPr="00EB0F9B" w:rsidRDefault="009D6D02" w:rsidP="00FE0EC9">
      <w:pPr>
        <w:pStyle w:val="PargrafodaLista"/>
        <w:widowControl/>
        <w:numPr>
          <w:ilvl w:val="2"/>
          <w:numId w:val="10"/>
        </w:numPr>
        <w:autoSpaceDE/>
        <w:autoSpaceDN/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Salvo em decorrência de fato superveniente devidamente justificado, deixar de apresentar amostra ou apresentá-la em desacordo com as especificações do edital.</w:t>
      </w:r>
    </w:p>
    <w:p w14:paraId="241B0E0B" w14:textId="52C5DB75" w:rsidR="009F4B0A" w:rsidRPr="00EB0F9B" w:rsidRDefault="009D6D02" w:rsidP="00FE0EC9">
      <w:pPr>
        <w:pStyle w:val="PargrafodaLista"/>
        <w:widowControl/>
        <w:numPr>
          <w:ilvl w:val="2"/>
          <w:numId w:val="10"/>
        </w:numPr>
        <w:autoSpaceDE/>
        <w:autoSpaceDN/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não celebrar o </w:t>
      </w:r>
      <w:r w:rsidR="009F77E2" w:rsidRPr="00EB0F9B">
        <w:rPr>
          <w:rFonts w:ascii="Times New Roman" w:hAnsi="Times New Roman" w:cs="Times New Roman"/>
          <w:sz w:val="23"/>
          <w:szCs w:val="23"/>
        </w:rPr>
        <w:t>Termo de Credenciamento</w:t>
      </w:r>
      <w:r w:rsidRPr="00EB0F9B">
        <w:rPr>
          <w:rFonts w:ascii="Times New Roman" w:hAnsi="Times New Roman" w:cs="Times New Roman"/>
          <w:sz w:val="23"/>
          <w:szCs w:val="23"/>
        </w:rPr>
        <w:t xml:space="preserve"> ou não entregar a documentação exigida para a contratação, quando convocado dentro do prazo de validade do credenciamento; </w:t>
      </w:r>
    </w:p>
    <w:p w14:paraId="1E550F8C" w14:textId="6F133EF2" w:rsidR="009F4B0A" w:rsidRPr="00EB0F9B" w:rsidRDefault="009D6D02" w:rsidP="00FE0EC9">
      <w:pPr>
        <w:pStyle w:val="PargrafodaLista"/>
        <w:widowControl/>
        <w:numPr>
          <w:ilvl w:val="2"/>
          <w:numId w:val="10"/>
        </w:numPr>
        <w:autoSpaceDE/>
        <w:autoSpaceDN/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recusar-se, sem justificativa, a assinar o </w:t>
      </w:r>
      <w:r w:rsidR="009F77E2" w:rsidRPr="00EB0F9B">
        <w:rPr>
          <w:rFonts w:ascii="Times New Roman" w:hAnsi="Times New Roman" w:cs="Times New Roman"/>
          <w:sz w:val="23"/>
          <w:szCs w:val="23"/>
        </w:rPr>
        <w:t>Termo de Credenciamento</w:t>
      </w:r>
      <w:r w:rsidRPr="00EB0F9B">
        <w:rPr>
          <w:rFonts w:ascii="Times New Roman" w:hAnsi="Times New Roman" w:cs="Times New Roman"/>
          <w:sz w:val="23"/>
          <w:szCs w:val="23"/>
        </w:rPr>
        <w:t>, ou a aceitar ou retirar o instrumento equivalente no prazo estabelecido pela Administração;</w:t>
      </w:r>
    </w:p>
    <w:p w14:paraId="55195F27" w14:textId="77777777" w:rsidR="009F4B0A" w:rsidRPr="00EB0F9B" w:rsidRDefault="009D6D02" w:rsidP="00FE0EC9">
      <w:pPr>
        <w:pStyle w:val="PargrafodaLista"/>
        <w:widowControl/>
        <w:numPr>
          <w:ilvl w:val="2"/>
          <w:numId w:val="10"/>
        </w:numPr>
        <w:autoSpaceDE/>
        <w:autoSpaceDN/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lastRenderedPageBreak/>
        <w:t>apresentar declaração ou documentação falsa exigida para o certame ou prestar declaração falsa durante o credenciamento;</w:t>
      </w:r>
    </w:p>
    <w:p w14:paraId="2ACA6555" w14:textId="33516841" w:rsidR="009D6D02" w:rsidRPr="00EB0F9B" w:rsidRDefault="009D6D02" w:rsidP="00FE0EC9">
      <w:pPr>
        <w:pStyle w:val="PargrafodaLista"/>
        <w:widowControl/>
        <w:numPr>
          <w:ilvl w:val="2"/>
          <w:numId w:val="10"/>
        </w:numPr>
        <w:autoSpaceDE/>
        <w:autoSpaceDN/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fraudar o credenciamento;</w:t>
      </w:r>
    </w:p>
    <w:p w14:paraId="24E8020F" w14:textId="55CFBC85" w:rsidR="009F4B0A" w:rsidRPr="00EB0F9B" w:rsidRDefault="009D6D02" w:rsidP="00FE0EC9">
      <w:pPr>
        <w:pStyle w:val="PargrafodaLista"/>
        <w:widowControl/>
        <w:numPr>
          <w:ilvl w:val="1"/>
          <w:numId w:val="10"/>
        </w:numPr>
        <w:autoSpaceDE/>
        <w:autoSpaceDN/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comportar-se de modo inidôneo ou cometer fraude de qualquer natureza, em especial quando:</w:t>
      </w:r>
    </w:p>
    <w:p w14:paraId="0E59B36E" w14:textId="77777777" w:rsidR="009F4B0A" w:rsidRPr="00EB0F9B" w:rsidRDefault="009D6D02" w:rsidP="00FE0EC9">
      <w:pPr>
        <w:pStyle w:val="PargrafodaLista"/>
        <w:widowControl/>
        <w:numPr>
          <w:ilvl w:val="3"/>
          <w:numId w:val="10"/>
        </w:numPr>
        <w:autoSpaceDE/>
        <w:autoSpaceDN/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agir em conluio ou em desconformidade com a lei; </w:t>
      </w:r>
    </w:p>
    <w:p w14:paraId="6CBF8777" w14:textId="77777777" w:rsidR="009F4B0A" w:rsidRPr="00EB0F9B" w:rsidRDefault="009D6D02" w:rsidP="00FE0EC9">
      <w:pPr>
        <w:pStyle w:val="PargrafodaLista"/>
        <w:widowControl/>
        <w:numPr>
          <w:ilvl w:val="3"/>
          <w:numId w:val="10"/>
        </w:numPr>
        <w:autoSpaceDE/>
        <w:autoSpaceDN/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induzir deliberadamente a erro no julgamento; </w:t>
      </w:r>
    </w:p>
    <w:p w14:paraId="1EE0BA66" w14:textId="445ADC3A" w:rsidR="009D6D02" w:rsidRPr="00EB0F9B" w:rsidRDefault="009D6D02" w:rsidP="00FE0EC9">
      <w:pPr>
        <w:pStyle w:val="PargrafodaLista"/>
        <w:widowControl/>
        <w:numPr>
          <w:ilvl w:val="3"/>
          <w:numId w:val="10"/>
        </w:numPr>
        <w:autoSpaceDE/>
        <w:autoSpaceDN/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apresentar amostra falsificada ou deteriorada; </w:t>
      </w:r>
    </w:p>
    <w:p w14:paraId="2E5B9D25" w14:textId="7011466E" w:rsidR="009D6D02" w:rsidRPr="00EB0F9B" w:rsidRDefault="009D6D02" w:rsidP="00FE0EC9">
      <w:pPr>
        <w:pStyle w:val="PargrafodaLista"/>
        <w:widowControl/>
        <w:numPr>
          <w:ilvl w:val="2"/>
          <w:numId w:val="10"/>
        </w:numPr>
        <w:autoSpaceDE/>
        <w:autoSpaceDN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praticar atos ilícitos com vistas a frustrar os objetivos do credenciamento;</w:t>
      </w:r>
    </w:p>
    <w:p w14:paraId="0BA84FDD" w14:textId="77777777" w:rsidR="009D6D02" w:rsidRPr="00EB0F9B" w:rsidRDefault="009D6D02" w:rsidP="00FE0EC9">
      <w:pPr>
        <w:pStyle w:val="PargrafodaLista"/>
        <w:widowControl/>
        <w:numPr>
          <w:ilvl w:val="2"/>
          <w:numId w:val="10"/>
        </w:numPr>
        <w:autoSpaceDE/>
        <w:autoSpaceDN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praticar ato lesivo previsto no art. 5º da Lei n.º 12.846, de 2013.</w:t>
      </w:r>
    </w:p>
    <w:p w14:paraId="530C8655" w14:textId="77777777" w:rsidR="009D6D02" w:rsidRPr="00EB0F9B" w:rsidRDefault="009D6D02" w:rsidP="00FE0EC9">
      <w:pPr>
        <w:pStyle w:val="PargrafodaLista"/>
        <w:widowControl/>
        <w:numPr>
          <w:ilvl w:val="1"/>
          <w:numId w:val="10"/>
        </w:numPr>
        <w:autoSpaceDE/>
        <w:autoSpaceDN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Com fulcro na Lei nº 14.133, de 2021, a Administração poderá, garantida a prévia defesa, aplicar aos credenciados as seguintes sanções, sem prejuízo das responsabilidades civil e criminal: </w:t>
      </w:r>
    </w:p>
    <w:p w14:paraId="228A5BCC" w14:textId="77777777" w:rsidR="009D6D02" w:rsidRPr="00EB0F9B" w:rsidRDefault="009D6D02" w:rsidP="00FE0EC9">
      <w:pPr>
        <w:pStyle w:val="PargrafodaLista"/>
        <w:widowControl/>
        <w:numPr>
          <w:ilvl w:val="2"/>
          <w:numId w:val="10"/>
        </w:numPr>
        <w:autoSpaceDE/>
        <w:autoSpaceDN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advertência; </w:t>
      </w:r>
    </w:p>
    <w:p w14:paraId="30F070AF" w14:textId="77777777" w:rsidR="009D6D02" w:rsidRPr="00EB0F9B" w:rsidRDefault="009D6D02" w:rsidP="00FE0EC9">
      <w:pPr>
        <w:pStyle w:val="PargrafodaLista"/>
        <w:widowControl/>
        <w:numPr>
          <w:ilvl w:val="2"/>
          <w:numId w:val="10"/>
        </w:numPr>
        <w:autoSpaceDE/>
        <w:autoSpaceDN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multa;</w:t>
      </w:r>
    </w:p>
    <w:p w14:paraId="131FBFAB" w14:textId="77777777" w:rsidR="009D6D02" w:rsidRPr="00EB0F9B" w:rsidRDefault="009D6D02" w:rsidP="00FE0EC9">
      <w:pPr>
        <w:pStyle w:val="PargrafodaLista"/>
        <w:widowControl/>
        <w:numPr>
          <w:ilvl w:val="2"/>
          <w:numId w:val="10"/>
        </w:numPr>
        <w:autoSpaceDE/>
        <w:autoSpaceDN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impedimento de licitar e contratar e</w:t>
      </w:r>
    </w:p>
    <w:p w14:paraId="4408D1A5" w14:textId="77777777" w:rsidR="009D6D02" w:rsidRPr="00EB0F9B" w:rsidRDefault="009D6D02" w:rsidP="00FE0EC9">
      <w:pPr>
        <w:pStyle w:val="PargrafodaLista"/>
        <w:widowControl/>
        <w:numPr>
          <w:ilvl w:val="2"/>
          <w:numId w:val="10"/>
        </w:numPr>
        <w:autoSpaceDE/>
        <w:autoSpaceDN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declaração de inidoneidade para licitar ou contratar, enquanto perdurarem os motivos determinantes da punição ou até que seja promovida sua reabilitação perante a própria autoridade que aplicou a penalidade.</w:t>
      </w:r>
    </w:p>
    <w:p w14:paraId="215F8E92" w14:textId="77777777" w:rsidR="009D6D02" w:rsidRPr="00EB0F9B" w:rsidRDefault="009D6D02" w:rsidP="00FE0EC9">
      <w:pPr>
        <w:pStyle w:val="PargrafodaLista"/>
        <w:widowControl/>
        <w:numPr>
          <w:ilvl w:val="1"/>
          <w:numId w:val="10"/>
        </w:numPr>
        <w:autoSpaceDE/>
        <w:autoSpaceDN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Na aplicação das sanções serão considerados:</w:t>
      </w:r>
    </w:p>
    <w:p w14:paraId="69ED3288" w14:textId="77777777" w:rsidR="009D6D02" w:rsidRPr="00EB0F9B" w:rsidRDefault="009D6D02" w:rsidP="00FE0EC9">
      <w:pPr>
        <w:pStyle w:val="PargrafodaLista"/>
        <w:widowControl/>
        <w:numPr>
          <w:ilvl w:val="2"/>
          <w:numId w:val="10"/>
        </w:numPr>
        <w:autoSpaceDE/>
        <w:autoSpaceDN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a natureza e a gravidade da infração cometida.</w:t>
      </w:r>
    </w:p>
    <w:p w14:paraId="4BB86DC9" w14:textId="77777777" w:rsidR="009D6D02" w:rsidRPr="00EB0F9B" w:rsidRDefault="009D6D02" w:rsidP="00FE0EC9">
      <w:pPr>
        <w:pStyle w:val="PargrafodaLista"/>
        <w:widowControl/>
        <w:numPr>
          <w:ilvl w:val="2"/>
          <w:numId w:val="10"/>
        </w:numPr>
        <w:autoSpaceDE/>
        <w:autoSpaceDN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as peculiaridades do caso concreto</w:t>
      </w:r>
    </w:p>
    <w:p w14:paraId="7D58A4D0" w14:textId="77777777" w:rsidR="009D6D02" w:rsidRPr="00EB0F9B" w:rsidRDefault="009D6D02" w:rsidP="00FE0EC9">
      <w:pPr>
        <w:pStyle w:val="PargrafodaLista"/>
        <w:widowControl/>
        <w:numPr>
          <w:ilvl w:val="2"/>
          <w:numId w:val="10"/>
        </w:numPr>
        <w:autoSpaceDE/>
        <w:autoSpaceDN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as circunstâncias agravantes ou atenuantes</w:t>
      </w:r>
    </w:p>
    <w:p w14:paraId="4CB7B5E0" w14:textId="77777777" w:rsidR="009D6D02" w:rsidRPr="00EB0F9B" w:rsidRDefault="009D6D02" w:rsidP="00FE0EC9">
      <w:pPr>
        <w:pStyle w:val="PargrafodaLista"/>
        <w:widowControl/>
        <w:numPr>
          <w:ilvl w:val="2"/>
          <w:numId w:val="10"/>
        </w:numPr>
        <w:autoSpaceDE/>
        <w:autoSpaceDN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os danos que dela provierem para a Administração Pública</w:t>
      </w:r>
    </w:p>
    <w:p w14:paraId="3EC92505" w14:textId="77777777" w:rsidR="009D6D02" w:rsidRPr="00EB0F9B" w:rsidRDefault="009D6D02" w:rsidP="00FE0EC9">
      <w:pPr>
        <w:pStyle w:val="PargrafodaLista"/>
        <w:widowControl/>
        <w:numPr>
          <w:ilvl w:val="2"/>
          <w:numId w:val="10"/>
        </w:numPr>
        <w:autoSpaceDE/>
        <w:autoSpaceDN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a implantação ou o aperfeiçoamento de programa de integridade, conforme normas e orientações dos órgãos de controle.</w:t>
      </w:r>
    </w:p>
    <w:p w14:paraId="459E1811" w14:textId="7475C62B" w:rsidR="009D6D02" w:rsidRPr="00EB0F9B" w:rsidRDefault="009D6D02" w:rsidP="00FE0EC9">
      <w:pPr>
        <w:pStyle w:val="PargrafodaLista"/>
        <w:widowControl/>
        <w:numPr>
          <w:ilvl w:val="1"/>
          <w:numId w:val="10"/>
        </w:numPr>
        <w:autoSpaceDE/>
        <w:autoSpaceDN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A multa será recolhida em percentual de 0,5% a 30% incidente sobre o valor do </w:t>
      </w:r>
      <w:r w:rsidR="009F77E2" w:rsidRPr="00EB0F9B">
        <w:rPr>
          <w:rFonts w:ascii="Times New Roman" w:hAnsi="Times New Roman" w:cs="Times New Roman"/>
          <w:sz w:val="23"/>
          <w:szCs w:val="23"/>
        </w:rPr>
        <w:t>Termo de Credenciamento</w:t>
      </w:r>
      <w:r w:rsidRPr="00EB0F9B">
        <w:rPr>
          <w:rFonts w:ascii="Times New Roman" w:hAnsi="Times New Roman" w:cs="Times New Roman"/>
          <w:sz w:val="23"/>
          <w:szCs w:val="23"/>
        </w:rPr>
        <w:t xml:space="preserve">, recolhida no prazo máximo de 15 (quinze) dias úteis, a contar da comunicação oficial. </w:t>
      </w:r>
    </w:p>
    <w:p w14:paraId="5D0E298D" w14:textId="70CB9D6E" w:rsidR="009D6D02" w:rsidRPr="00EB0F9B" w:rsidRDefault="009D6D02" w:rsidP="00FE0EC9">
      <w:pPr>
        <w:pStyle w:val="PargrafodaLista"/>
        <w:widowControl/>
        <w:numPr>
          <w:ilvl w:val="2"/>
          <w:numId w:val="10"/>
        </w:numPr>
        <w:autoSpaceDE/>
        <w:autoSpaceDN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Para as infrações previstas nos itens 6.1.1, 6.1.2, 6.1.3 e 6.1.4, a multa será de 0,5% a 15% do valor do </w:t>
      </w:r>
      <w:r w:rsidR="009F77E2" w:rsidRPr="00EB0F9B">
        <w:rPr>
          <w:rFonts w:ascii="Times New Roman" w:hAnsi="Times New Roman" w:cs="Times New Roman"/>
          <w:sz w:val="23"/>
          <w:szCs w:val="23"/>
        </w:rPr>
        <w:t>Termo de Credenciamento</w:t>
      </w:r>
      <w:r w:rsidRPr="00EB0F9B">
        <w:rPr>
          <w:rFonts w:ascii="Times New Roman" w:hAnsi="Times New Roman" w:cs="Times New Roman"/>
          <w:sz w:val="23"/>
          <w:szCs w:val="23"/>
        </w:rPr>
        <w:t>.</w:t>
      </w:r>
    </w:p>
    <w:p w14:paraId="035CFD36" w14:textId="58CDA70A" w:rsidR="009D6D02" w:rsidRPr="00EB0F9B" w:rsidRDefault="009D6D02" w:rsidP="00FE0EC9">
      <w:pPr>
        <w:pStyle w:val="PargrafodaLista"/>
        <w:widowControl/>
        <w:numPr>
          <w:ilvl w:val="2"/>
          <w:numId w:val="10"/>
        </w:numPr>
        <w:autoSpaceDE/>
        <w:autoSpaceDN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Para as infrações previstas nos itens 6.1.5, 6.1.6, 6.1.7, 6.1.8 e 6.1.9, a multa será de 15% a 30% do valor do </w:t>
      </w:r>
      <w:r w:rsidR="009F77E2" w:rsidRPr="00EB0F9B">
        <w:rPr>
          <w:rFonts w:ascii="Times New Roman" w:hAnsi="Times New Roman" w:cs="Times New Roman"/>
          <w:sz w:val="23"/>
          <w:szCs w:val="23"/>
        </w:rPr>
        <w:t>Termo de Credenciamento</w:t>
      </w:r>
      <w:r w:rsidRPr="00EB0F9B">
        <w:rPr>
          <w:rFonts w:ascii="Times New Roman" w:hAnsi="Times New Roman" w:cs="Times New Roman"/>
          <w:sz w:val="23"/>
          <w:szCs w:val="23"/>
        </w:rPr>
        <w:t>.</w:t>
      </w:r>
    </w:p>
    <w:p w14:paraId="216AC52E" w14:textId="0447056B" w:rsidR="009D6D02" w:rsidRPr="00EB0F9B" w:rsidRDefault="009D6D02" w:rsidP="00FE0EC9">
      <w:pPr>
        <w:pStyle w:val="PargrafodaLista"/>
        <w:widowControl/>
        <w:numPr>
          <w:ilvl w:val="1"/>
          <w:numId w:val="10"/>
        </w:numPr>
        <w:autoSpaceDE/>
        <w:autoSpaceDN/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As sanções de advertência, impedimento de licitar e contratar e declaração de inidoneidade para licitar ou contratar poderão ser aplicadas, cumulativamente ou não, à penalidade de multa.</w:t>
      </w:r>
    </w:p>
    <w:p w14:paraId="181B30E8" w14:textId="77777777" w:rsidR="009D6D02" w:rsidRPr="00EB0F9B" w:rsidRDefault="009D6D02" w:rsidP="00FE0EC9">
      <w:pPr>
        <w:pStyle w:val="PargrafodaLista"/>
        <w:widowControl/>
        <w:numPr>
          <w:ilvl w:val="1"/>
          <w:numId w:val="10"/>
        </w:numPr>
        <w:autoSpaceDE/>
        <w:autoSpaceDN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Na aplicação da sanção de multa será facultada a defesa do interessado no prazo de 15 (quinze) dias úteis, contado da data de sua intimação.</w:t>
      </w:r>
    </w:p>
    <w:p w14:paraId="662FFAC9" w14:textId="77777777" w:rsidR="009D6D02" w:rsidRPr="00EB0F9B" w:rsidRDefault="009D6D02" w:rsidP="00FE0EC9">
      <w:pPr>
        <w:pStyle w:val="PargrafodaLista"/>
        <w:widowControl/>
        <w:numPr>
          <w:ilvl w:val="1"/>
          <w:numId w:val="10"/>
        </w:numPr>
        <w:autoSpaceDE/>
        <w:autoSpaceDN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lastRenderedPageBreak/>
        <w:t>A sanção de impedimento de licitar e contratar será aplicada ao responsável em decorrência das infrações administrativas relacionadas nos itens 6.1.1, 6.1.2, 6.1.3 e 6.1.4, quando não se justificar a imposição de penalidade mais grave, e impedirá o responsável de licitar e contratar no âmbito da Administração Pública direta e indireta do ente federativo a qual pertencer o órgão ou entidade, pelo prazo máximo de 3 (três) anos.</w:t>
      </w:r>
    </w:p>
    <w:p w14:paraId="59B4EE4C" w14:textId="77777777" w:rsidR="009D6D02" w:rsidRPr="00EB0F9B" w:rsidRDefault="009D6D02" w:rsidP="00FE0EC9">
      <w:pPr>
        <w:pStyle w:val="PargrafodaLista"/>
        <w:widowControl/>
        <w:numPr>
          <w:ilvl w:val="1"/>
          <w:numId w:val="10"/>
        </w:numPr>
        <w:autoSpaceDE/>
        <w:autoSpaceDN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Poderá ser aplicada ao responsável a sanção de declaração de inidoneidade para licitar ou contratar, em decorrência da prática das infrações dispostas nos itens 6.1.5, 6.1.6, 6.1.7, 6.1.8 e 6.1.9, bem como pelas infrações administrativas previstas nos itens 6.1.1, 6.1.2, 6.1.3 e 6.1.4 que justifiquem a imposição de penalidade mais grave que a sanção de impedimento de licitar e contratar, cuja duração observará o prazo previsto no art. 156, §5º, da Lei n.º 14.133/2021.</w:t>
      </w:r>
    </w:p>
    <w:p w14:paraId="0D26CE6D" w14:textId="37CA0212" w:rsidR="009D6D02" w:rsidRPr="00EB0F9B" w:rsidRDefault="009D6D02" w:rsidP="00FE0EC9">
      <w:pPr>
        <w:pStyle w:val="PargrafodaLista"/>
        <w:widowControl/>
        <w:numPr>
          <w:ilvl w:val="1"/>
          <w:numId w:val="10"/>
        </w:numPr>
        <w:autoSpaceDE/>
        <w:autoSpaceDN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A recusa injustificada do credenciado em assinar o </w:t>
      </w:r>
      <w:r w:rsidR="009F77E2" w:rsidRPr="00EB0F9B">
        <w:rPr>
          <w:rFonts w:ascii="Times New Roman" w:hAnsi="Times New Roman" w:cs="Times New Roman"/>
          <w:sz w:val="23"/>
          <w:szCs w:val="23"/>
        </w:rPr>
        <w:t>Termo de Credenciamento</w:t>
      </w:r>
      <w:r w:rsidRPr="00EB0F9B">
        <w:rPr>
          <w:rFonts w:ascii="Times New Roman" w:hAnsi="Times New Roman" w:cs="Times New Roman"/>
          <w:sz w:val="23"/>
          <w:szCs w:val="23"/>
        </w:rPr>
        <w:t xml:space="preserve">, ou em aceitar ou retirar o instrumento equivalente no prazo estabelecido pela Administração, descrita nos itens 6.1.3 e 6.1.4, caracterizará o descumprimento total da obrigação assumida e o sujeitará às penalidades e à imediata perda da garantia em favor do órgão ou entidade credenciante, nos termos do art. 45, §4º da IN SEGES/ME n.º 73, de 2022. </w:t>
      </w:r>
    </w:p>
    <w:p w14:paraId="24C9E5E5" w14:textId="77777777" w:rsidR="009D6D02" w:rsidRPr="00EB0F9B" w:rsidRDefault="009D6D02" w:rsidP="00FE0EC9">
      <w:pPr>
        <w:pStyle w:val="PargrafodaLista"/>
        <w:widowControl/>
        <w:numPr>
          <w:ilvl w:val="1"/>
          <w:numId w:val="10"/>
        </w:numPr>
        <w:autoSpaceDE/>
        <w:autoSpaceDN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A apuração de responsabilidade relacionadas às sanções de impedimento de licitar e contratar e de declaração de inidoneidade para licitar ou contratar demandará a instauração de processo de responsabilização a ser conduzido por comissão composta por 2 (dois) ou mais servidores estáveis, que avaliará fatos e circunstâncias conhecidos e intimará o interessado para, no prazo de 15 (quinze) dias úteis, contado da data de sua intimação, apresentar defesa escrita e especificar as provas que pretenda produzir. </w:t>
      </w:r>
    </w:p>
    <w:p w14:paraId="708541CE" w14:textId="77777777" w:rsidR="009D6D02" w:rsidRPr="00EB0F9B" w:rsidRDefault="009D6D02" w:rsidP="00FE0EC9">
      <w:pPr>
        <w:pStyle w:val="PargrafodaLista"/>
        <w:widowControl/>
        <w:numPr>
          <w:ilvl w:val="1"/>
          <w:numId w:val="10"/>
        </w:numPr>
        <w:autoSpaceDE/>
        <w:autoSpaceDN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Caberá recurso no prazo de 15 (quinze) dias úteis da aplicação das sanções de advertência, multa e impedimento de licitar e contratar, contado da data da intimação, o qual será dirigido à autoridade que tiver proferido a decisão recorrida, que, se não a reconsiderar no prazo de 5 (cinco) dias úteis, encaminhará o recurso com sua motivação à autoridade superior, que deverá proferir sua decisão no prazo máximo de 20 (vinte) dias úteis, contado do recebimento dos autos.</w:t>
      </w:r>
    </w:p>
    <w:p w14:paraId="433A5DD8" w14:textId="77777777" w:rsidR="009D6D02" w:rsidRPr="00EB0F9B" w:rsidRDefault="009D6D02" w:rsidP="00FE0EC9">
      <w:pPr>
        <w:pStyle w:val="PargrafodaLista"/>
        <w:widowControl/>
        <w:numPr>
          <w:ilvl w:val="1"/>
          <w:numId w:val="10"/>
        </w:numPr>
        <w:autoSpaceDE/>
        <w:autoSpaceDN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Caberá a apresentação de pedido de reconsideração da aplicação da sanção de declaração de inidoneidade para licitar ou contratar no prazo de 15 (quinze) dias úteis, contado da data da intimação, e decidido no prazo máximo de 20 (vinte) dias úteis, contado do seu recebimento.</w:t>
      </w:r>
    </w:p>
    <w:p w14:paraId="2CB07D64" w14:textId="77777777" w:rsidR="009F4B0A" w:rsidRPr="00EB0F9B" w:rsidRDefault="009D6D02" w:rsidP="00FE0EC9">
      <w:pPr>
        <w:pStyle w:val="PargrafodaLista"/>
        <w:widowControl/>
        <w:numPr>
          <w:ilvl w:val="1"/>
          <w:numId w:val="10"/>
        </w:numPr>
        <w:autoSpaceDE/>
        <w:autoSpaceDN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O recurso e o pedido de reconsideração terão efeito suspensivo do ato ou da decisão recorrida até que sobrevenha decisão final da autoridade competente.</w:t>
      </w:r>
    </w:p>
    <w:p w14:paraId="0DDDC8D0" w14:textId="44AF7D2E" w:rsidR="009F4B0A" w:rsidRPr="00EB0F9B" w:rsidRDefault="009D6D02" w:rsidP="00FE0EC9">
      <w:pPr>
        <w:pStyle w:val="PargrafodaLista"/>
        <w:widowControl/>
        <w:numPr>
          <w:ilvl w:val="1"/>
          <w:numId w:val="10"/>
        </w:numPr>
        <w:autoSpaceDE/>
        <w:autoSpaceDN/>
        <w:spacing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A aplicação das sanções previstas neste </w:t>
      </w:r>
      <w:r w:rsidR="009F4B0A" w:rsidRPr="00EB0F9B">
        <w:rPr>
          <w:rFonts w:ascii="Times New Roman" w:hAnsi="Times New Roman" w:cs="Times New Roman"/>
          <w:sz w:val="23"/>
          <w:szCs w:val="23"/>
        </w:rPr>
        <w:t>termo de credenciamento</w:t>
      </w:r>
      <w:r w:rsidRPr="00EB0F9B">
        <w:rPr>
          <w:rFonts w:ascii="Times New Roman" w:hAnsi="Times New Roman" w:cs="Times New Roman"/>
          <w:sz w:val="23"/>
          <w:szCs w:val="23"/>
        </w:rPr>
        <w:t xml:space="preserve"> não exclui, em hipótese alguma, a obrigação de reparação integral dos danos causados</w:t>
      </w:r>
      <w:r w:rsidR="009F4B0A" w:rsidRPr="00EB0F9B">
        <w:rPr>
          <w:rFonts w:ascii="Times New Roman" w:hAnsi="Times New Roman" w:cs="Times New Roman"/>
          <w:sz w:val="23"/>
          <w:szCs w:val="23"/>
        </w:rPr>
        <w:t>.</w:t>
      </w:r>
    </w:p>
    <w:p w14:paraId="2E550540" w14:textId="77777777" w:rsidR="009F77E2" w:rsidRPr="00EB0F9B" w:rsidRDefault="009F77E2" w:rsidP="00FE0EC9">
      <w:pPr>
        <w:widowControl/>
        <w:autoSpaceDE/>
        <w:autoSpaceDN/>
        <w:spacing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B0F9B">
        <w:rPr>
          <w:rFonts w:ascii="Times New Roman" w:hAnsi="Times New Roman" w:cs="Times New Roman"/>
          <w:b/>
          <w:sz w:val="23"/>
          <w:szCs w:val="23"/>
        </w:rPr>
        <w:t>CLÁUSULA DÉCIMA SEGUNDA – DA EXTINÇÃO CONTRATUAL</w:t>
      </w:r>
    </w:p>
    <w:p w14:paraId="2B1AD77F" w14:textId="77777777" w:rsidR="0007020B" w:rsidRPr="00EB0F9B" w:rsidRDefault="0007020B" w:rsidP="00FE0EC9">
      <w:pPr>
        <w:pStyle w:val="PargrafodaLista"/>
        <w:numPr>
          <w:ilvl w:val="1"/>
          <w:numId w:val="33"/>
        </w:numPr>
        <w:spacing w:line="360" w:lineRule="auto"/>
        <w:ind w:left="0" w:firstLine="0"/>
        <w:rPr>
          <w:rFonts w:ascii="Times New Roman" w:hAnsi="Times New Roman" w:cs="Times New Roman"/>
          <w:iCs/>
          <w:sz w:val="23"/>
          <w:szCs w:val="23"/>
          <w:lang w:val="pt-BR"/>
        </w:rPr>
      </w:pPr>
      <w:r w:rsidRPr="00EB0F9B">
        <w:rPr>
          <w:rFonts w:ascii="Times New Roman" w:hAnsi="Times New Roman" w:cs="Times New Roman"/>
          <w:iCs/>
          <w:sz w:val="23"/>
          <w:szCs w:val="23"/>
          <w:lang w:val="pt-BR"/>
        </w:rPr>
        <w:t xml:space="preserve">O contrato será extinto quando cumpridas as obrigações de ambas as partes, ainda que isso </w:t>
      </w:r>
      <w:r w:rsidRPr="00EB0F9B">
        <w:rPr>
          <w:rFonts w:ascii="Times New Roman" w:hAnsi="Times New Roman" w:cs="Times New Roman"/>
          <w:iCs/>
          <w:sz w:val="23"/>
          <w:szCs w:val="23"/>
          <w:lang w:val="pt-BR"/>
        </w:rPr>
        <w:lastRenderedPageBreak/>
        <w:t>ocorra antes do prazo estipulado para tanto.</w:t>
      </w:r>
    </w:p>
    <w:p w14:paraId="4D3F68E9" w14:textId="77777777" w:rsidR="0007020B" w:rsidRPr="00EB0F9B" w:rsidRDefault="0007020B" w:rsidP="00FE0EC9">
      <w:pPr>
        <w:pStyle w:val="PargrafodaLista"/>
        <w:numPr>
          <w:ilvl w:val="1"/>
          <w:numId w:val="33"/>
        </w:numPr>
        <w:spacing w:line="360" w:lineRule="auto"/>
        <w:ind w:left="0" w:firstLine="0"/>
        <w:rPr>
          <w:rFonts w:ascii="Times New Roman" w:hAnsi="Times New Roman" w:cs="Times New Roman"/>
          <w:iCs/>
          <w:sz w:val="23"/>
          <w:szCs w:val="23"/>
          <w:lang w:val="pt-BR"/>
        </w:rPr>
      </w:pPr>
      <w:r w:rsidRPr="00EB0F9B">
        <w:rPr>
          <w:rFonts w:ascii="Times New Roman" w:hAnsi="Times New Roman" w:cs="Times New Roman"/>
          <w:iCs/>
          <w:sz w:val="23"/>
          <w:szCs w:val="23"/>
          <w:lang w:val="pt-BR"/>
        </w:rPr>
        <w:t>Se as obrigações não forem cumpridas no prazo estipulado, a vigência ficará prorrogada até a conclusão do objeto, caso em que deverá a Administração providenciar a readequação do cronograma fixado para o contrato.</w:t>
      </w:r>
    </w:p>
    <w:p w14:paraId="75F590B8" w14:textId="64E556CA" w:rsidR="0007020B" w:rsidRPr="00EB0F9B" w:rsidRDefault="0007020B" w:rsidP="00FE0EC9">
      <w:pPr>
        <w:pStyle w:val="PargrafodaLista"/>
        <w:numPr>
          <w:ilvl w:val="1"/>
          <w:numId w:val="33"/>
        </w:numPr>
        <w:spacing w:line="360" w:lineRule="auto"/>
        <w:ind w:left="0" w:firstLine="0"/>
        <w:rPr>
          <w:rFonts w:ascii="Times New Roman" w:hAnsi="Times New Roman" w:cs="Times New Roman"/>
          <w:iCs/>
          <w:sz w:val="23"/>
          <w:szCs w:val="23"/>
          <w:lang w:val="pt-BR"/>
        </w:rPr>
      </w:pPr>
      <w:r w:rsidRPr="00EB0F9B">
        <w:rPr>
          <w:rFonts w:ascii="Times New Roman" w:hAnsi="Times New Roman" w:cs="Times New Roman"/>
          <w:iCs/>
          <w:sz w:val="23"/>
          <w:szCs w:val="23"/>
          <w:lang w:val="pt-BR"/>
        </w:rPr>
        <w:t>Quando a não conclusão do contrato referida no item anterior decorrer de culpa do CONTRATADO:</w:t>
      </w:r>
    </w:p>
    <w:p w14:paraId="1973812D" w14:textId="77777777" w:rsidR="0007020B" w:rsidRPr="00EB0F9B" w:rsidRDefault="0007020B" w:rsidP="00FE0EC9">
      <w:pPr>
        <w:pStyle w:val="PargrafodaLista"/>
        <w:numPr>
          <w:ilvl w:val="2"/>
          <w:numId w:val="33"/>
        </w:numPr>
        <w:spacing w:line="360" w:lineRule="auto"/>
        <w:ind w:left="0" w:firstLine="0"/>
        <w:rPr>
          <w:rFonts w:ascii="Times New Roman" w:hAnsi="Times New Roman" w:cs="Times New Roman"/>
          <w:iCs/>
          <w:sz w:val="23"/>
          <w:szCs w:val="23"/>
          <w:lang w:val="pt-BR"/>
        </w:rPr>
      </w:pPr>
      <w:r w:rsidRPr="00EB0F9B">
        <w:rPr>
          <w:rFonts w:ascii="Times New Roman" w:hAnsi="Times New Roman" w:cs="Times New Roman"/>
          <w:iCs/>
          <w:sz w:val="23"/>
          <w:szCs w:val="23"/>
          <w:lang w:val="pt-BR"/>
        </w:rPr>
        <w:t>ficará ele constituído em mora, sendo-lhe aplicáveis as respectivas sanções administrativas; e</w:t>
      </w:r>
    </w:p>
    <w:p w14:paraId="57B6555D" w14:textId="7C1A5673" w:rsidR="0007020B" w:rsidRPr="00EB0F9B" w:rsidRDefault="0007020B" w:rsidP="00FE0EC9">
      <w:pPr>
        <w:pStyle w:val="PargrafodaLista"/>
        <w:numPr>
          <w:ilvl w:val="2"/>
          <w:numId w:val="33"/>
        </w:numPr>
        <w:spacing w:line="360" w:lineRule="auto"/>
        <w:ind w:left="0" w:firstLine="0"/>
        <w:rPr>
          <w:rFonts w:ascii="Times New Roman" w:hAnsi="Times New Roman" w:cs="Times New Roman"/>
          <w:iCs/>
          <w:sz w:val="23"/>
          <w:szCs w:val="23"/>
          <w:lang w:val="pt-BR"/>
        </w:rPr>
      </w:pPr>
      <w:r w:rsidRPr="00EB0F9B">
        <w:rPr>
          <w:rFonts w:ascii="Times New Roman" w:hAnsi="Times New Roman" w:cs="Times New Roman"/>
          <w:iCs/>
          <w:sz w:val="23"/>
          <w:szCs w:val="23"/>
          <w:lang w:val="pt-BR"/>
        </w:rPr>
        <w:t>poderá a Administração optar pela extinção do contrato e, nesse caso, adotará as medidas admitidas em lei para a continuidade da execução contratual</w:t>
      </w:r>
    </w:p>
    <w:p w14:paraId="55549828" w14:textId="6DA03DFC" w:rsidR="001A0FE4" w:rsidRPr="00EB0F9B" w:rsidRDefault="00E3350E" w:rsidP="00FE0EC9">
      <w:pPr>
        <w:pStyle w:val="PargrafodaLista"/>
        <w:spacing w:line="360" w:lineRule="auto"/>
        <w:ind w:left="0"/>
        <w:jc w:val="both"/>
        <w:rPr>
          <w:rFonts w:ascii="Times New Roman" w:hAnsi="Times New Roman" w:cs="Times New Roman"/>
          <w:b/>
          <w:sz w:val="23"/>
          <w:szCs w:val="23"/>
          <w:lang w:val="pt-BR"/>
        </w:rPr>
      </w:pPr>
      <w:r w:rsidRPr="00EB0F9B">
        <w:rPr>
          <w:rFonts w:ascii="Times New Roman" w:hAnsi="Times New Roman" w:cs="Times New Roman"/>
          <w:b/>
          <w:sz w:val="23"/>
          <w:szCs w:val="23"/>
          <w:lang w:val="pt-BR"/>
        </w:rPr>
        <w:t xml:space="preserve">CLÁUSULA DÉCIMA TERCEIRA – DOTAÇÃO ORÇAMENTÁRIA </w:t>
      </w:r>
    </w:p>
    <w:p w14:paraId="10664BED" w14:textId="6E085E66" w:rsidR="00C76E00" w:rsidRPr="00EB0F9B" w:rsidRDefault="00C76E00" w:rsidP="00FE0EC9">
      <w:pPr>
        <w:pStyle w:val="PargrafodaLista"/>
        <w:numPr>
          <w:ilvl w:val="1"/>
          <w:numId w:val="3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  <w:lang w:val="pt-BR"/>
        </w:rPr>
      </w:pPr>
      <w:r w:rsidRPr="00EB0F9B">
        <w:rPr>
          <w:rFonts w:ascii="Times New Roman" w:hAnsi="Times New Roman" w:cs="Times New Roman"/>
          <w:sz w:val="23"/>
          <w:szCs w:val="23"/>
          <w:lang w:val="pt-BR"/>
        </w:rPr>
        <w:t xml:space="preserve">Não há previsão de despesas neste Contrato, a serem realizadas pela Contratante </w:t>
      </w:r>
    </w:p>
    <w:p w14:paraId="3D9A55B4" w14:textId="778DA7AB" w:rsidR="001A0FE4" w:rsidRPr="00EB0F9B" w:rsidRDefault="00E3350E" w:rsidP="00FE0EC9">
      <w:pPr>
        <w:spacing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B0F9B">
        <w:rPr>
          <w:rFonts w:ascii="Times New Roman" w:hAnsi="Times New Roman" w:cs="Times New Roman"/>
          <w:b/>
          <w:sz w:val="23"/>
          <w:szCs w:val="23"/>
        </w:rPr>
        <w:t xml:space="preserve">CLÁUSULA DÉCIMA QUARTA – DOS CASOS OMISSOS </w:t>
      </w:r>
    </w:p>
    <w:p w14:paraId="64D6B13B" w14:textId="566B10B4" w:rsidR="001A0FE4" w:rsidRPr="00EB0F9B" w:rsidRDefault="001A0FE4" w:rsidP="00FE0EC9">
      <w:pPr>
        <w:pStyle w:val="PargrafodaLista"/>
        <w:widowControl/>
        <w:numPr>
          <w:ilvl w:val="1"/>
          <w:numId w:val="13"/>
        </w:numPr>
        <w:autoSpaceDE/>
        <w:autoSpaceDN/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Os casos omissos serão decididos pelo </w:t>
      </w:r>
      <w:r w:rsidR="002554EF" w:rsidRPr="00EB0F9B">
        <w:rPr>
          <w:rFonts w:ascii="Times New Roman" w:hAnsi="Times New Roman" w:cs="Times New Roman"/>
          <w:sz w:val="23"/>
          <w:szCs w:val="23"/>
        </w:rPr>
        <w:t>Municipio</w:t>
      </w:r>
      <w:r w:rsidRPr="00EB0F9B">
        <w:rPr>
          <w:rFonts w:ascii="Times New Roman" w:hAnsi="Times New Roman" w:cs="Times New Roman"/>
          <w:sz w:val="23"/>
          <w:szCs w:val="23"/>
        </w:rPr>
        <w:t xml:space="preserve">, segundo as disposições contidas na Lei nº 14.133, de 2021 e demais normas federais aplicáveis e, subsidiariamente, segundo as disposições contidas na Lei nº 8.078, de 1990 – Código de Defesa do Consumidor – e normas e princípios gerais dos </w:t>
      </w:r>
      <w:r w:rsidR="00AD6ED0" w:rsidRPr="00EB0F9B">
        <w:rPr>
          <w:rFonts w:ascii="Times New Roman" w:hAnsi="Times New Roman" w:cs="Times New Roman"/>
          <w:sz w:val="23"/>
          <w:szCs w:val="23"/>
        </w:rPr>
        <w:t>Termo de Credenciamento</w:t>
      </w:r>
      <w:r w:rsidRPr="00EB0F9B">
        <w:rPr>
          <w:rFonts w:ascii="Times New Roman" w:hAnsi="Times New Roman" w:cs="Times New Roman"/>
          <w:sz w:val="23"/>
          <w:szCs w:val="23"/>
        </w:rPr>
        <w:t>s.</w:t>
      </w:r>
    </w:p>
    <w:p w14:paraId="1B5A1248" w14:textId="35667755" w:rsidR="001A0FE4" w:rsidRPr="00EB0F9B" w:rsidRDefault="00E3350E" w:rsidP="00FE0EC9">
      <w:pPr>
        <w:spacing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B0F9B">
        <w:rPr>
          <w:rFonts w:ascii="Times New Roman" w:hAnsi="Times New Roman" w:cs="Times New Roman"/>
          <w:b/>
          <w:sz w:val="23"/>
          <w:szCs w:val="23"/>
        </w:rPr>
        <w:t>CLÁUSULA DÉCIMA QUINTA – ALTERAÇÕES</w:t>
      </w:r>
    </w:p>
    <w:p w14:paraId="7170527E" w14:textId="77777777" w:rsidR="006449D6" w:rsidRPr="00EB0F9B" w:rsidRDefault="001A0FE4" w:rsidP="00FE0EC9">
      <w:pPr>
        <w:pStyle w:val="PargrafodaLista"/>
        <w:widowControl/>
        <w:numPr>
          <w:ilvl w:val="2"/>
          <w:numId w:val="14"/>
        </w:numPr>
        <w:autoSpaceDE/>
        <w:autoSpaceDN/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Eventuais alterações contratuais reger-se-ão pela disciplina dos arts. 124 e seguintes da Lei nº 14.133, de 2021.</w:t>
      </w:r>
    </w:p>
    <w:p w14:paraId="62A38BFA" w14:textId="490A8BF9" w:rsidR="001A0FE4" w:rsidRPr="00EB0F9B" w:rsidRDefault="001A0FE4" w:rsidP="00FE0EC9">
      <w:pPr>
        <w:spacing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B0F9B">
        <w:rPr>
          <w:rFonts w:ascii="Times New Roman" w:hAnsi="Times New Roman" w:cs="Times New Roman"/>
          <w:b/>
          <w:sz w:val="23"/>
          <w:szCs w:val="23"/>
        </w:rPr>
        <w:t xml:space="preserve">CLÁUSULA DÉCIMA </w:t>
      </w:r>
      <w:r w:rsidR="006449D6" w:rsidRPr="00EB0F9B">
        <w:rPr>
          <w:rFonts w:ascii="Times New Roman" w:hAnsi="Times New Roman" w:cs="Times New Roman"/>
          <w:b/>
          <w:sz w:val="23"/>
          <w:szCs w:val="23"/>
        </w:rPr>
        <w:t>SEXTA</w:t>
      </w:r>
      <w:r w:rsidRPr="00EB0F9B">
        <w:rPr>
          <w:rFonts w:ascii="Times New Roman" w:hAnsi="Times New Roman" w:cs="Times New Roman"/>
          <w:b/>
          <w:sz w:val="23"/>
          <w:szCs w:val="23"/>
        </w:rPr>
        <w:t xml:space="preserve"> – PUBLICAÇÃO</w:t>
      </w:r>
    </w:p>
    <w:p w14:paraId="373DE610" w14:textId="4A465292" w:rsidR="001A0FE4" w:rsidRPr="00EB0F9B" w:rsidRDefault="001A0FE4" w:rsidP="00FE0EC9">
      <w:pPr>
        <w:pStyle w:val="PargrafodaLista"/>
        <w:widowControl/>
        <w:numPr>
          <w:ilvl w:val="1"/>
          <w:numId w:val="16"/>
        </w:numPr>
        <w:autoSpaceDE/>
        <w:autoSpaceDN/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Incumbirá</w:t>
      </w:r>
      <w:r w:rsidR="006449D6" w:rsidRPr="00EB0F9B">
        <w:rPr>
          <w:rFonts w:ascii="Times New Roman" w:hAnsi="Times New Roman" w:cs="Times New Roman"/>
          <w:sz w:val="23"/>
          <w:szCs w:val="23"/>
        </w:rPr>
        <w:t xml:space="preserve"> ao Municípo</w:t>
      </w:r>
      <w:r w:rsidRPr="00EB0F9B">
        <w:rPr>
          <w:rFonts w:ascii="Times New Roman" w:hAnsi="Times New Roman" w:cs="Times New Roman"/>
          <w:sz w:val="23"/>
          <w:szCs w:val="23"/>
        </w:rPr>
        <w:t xml:space="preserve"> providenciar a publicação deste instrumento nos termos e condições previstas na Lei nº 14.133/21.</w:t>
      </w:r>
    </w:p>
    <w:p w14:paraId="5CAFD166" w14:textId="5A8AB445" w:rsidR="001A0FE4" w:rsidRPr="00EB0F9B" w:rsidRDefault="00AD6ED0" w:rsidP="00FE0EC9">
      <w:pPr>
        <w:spacing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B0F9B">
        <w:rPr>
          <w:rFonts w:ascii="Times New Roman" w:hAnsi="Times New Roman" w:cs="Times New Roman"/>
          <w:b/>
          <w:sz w:val="23"/>
          <w:szCs w:val="23"/>
        </w:rPr>
        <w:t xml:space="preserve">CLÁUSULA DÉCIMA SETIMA – FORO </w:t>
      </w:r>
    </w:p>
    <w:p w14:paraId="60010ADF" w14:textId="3F524DA5" w:rsidR="001A0FE4" w:rsidRDefault="001A0FE4" w:rsidP="00FE0EC9">
      <w:pPr>
        <w:pStyle w:val="PargrafodaLista"/>
        <w:widowControl/>
        <w:numPr>
          <w:ilvl w:val="1"/>
          <w:numId w:val="15"/>
        </w:numPr>
        <w:autoSpaceDE/>
        <w:autoSpaceDN/>
        <w:spacing w:line="360" w:lineRule="auto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É eleito o Foro da Comarca de Novo Cruzeiro para dirimir os litígios que decorrerem da execução deste </w:t>
      </w:r>
      <w:r w:rsidR="00AD6ED0" w:rsidRPr="00EB0F9B">
        <w:rPr>
          <w:rFonts w:ascii="Times New Roman" w:hAnsi="Times New Roman" w:cs="Times New Roman"/>
          <w:sz w:val="23"/>
          <w:szCs w:val="23"/>
        </w:rPr>
        <w:t>Termo de Credenciamento</w:t>
      </w:r>
      <w:r w:rsidRPr="00EB0F9B">
        <w:rPr>
          <w:rFonts w:ascii="Times New Roman" w:hAnsi="Times New Roman" w:cs="Times New Roman"/>
          <w:sz w:val="23"/>
          <w:szCs w:val="23"/>
        </w:rPr>
        <w:t xml:space="preserve"> que não possam ser compostos pela conciliação, conforme art. 92, §1º da Lei nº 14.133/21.</w:t>
      </w:r>
    </w:p>
    <w:p w14:paraId="537993F9" w14:textId="77777777" w:rsidR="00EB0F9B" w:rsidRPr="00EB0F9B" w:rsidRDefault="00EB0F9B" w:rsidP="00EB0F9B">
      <w:pPr>
        <w:pStyle w:val="PargrafodaLista"/>
        <w:widowControl/>
        <w:autoSpaceDE/>
        <w:autoSpaceDN/>
        <w:spacing w:line="36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4C99471D" w14:textId="77777777" w:rsidR="00EB0F9B" w:rsidRPr="00EB0F9B" w:rsidRDefault="00EB0F9B" w:rsidP="00EB0F9B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 xml:space="preserve">Catuji-MG, </w:t>
      </w:r>
    </w:p>
    <w:p w14:paraId="21F40AF6" w14:textId="77777777" w:rsidR="00EB0F9B" w:rsidRPr="00EB0F9B" w:rsidRDefault="00EB0F9B" w:rsidP="00EB0F9B">
      <w:pPr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  <w:sectPr w:rsidR="00EB0F9B" w:rsidRPr="00EB0F9B" w:rsidSect="00EB0F9B">
          <w:headerReference w:type="default" r:id="rId8"/>
          <w:footerReference w:type="default" r:id="rId9"/>
          <w:pgSz w:w="11910" w:h="16840" w:code="9"/>
          <w:pgMar w:top="1245" w:right="1134" w:bottom="1134" w:left="1418" w:header="284" w:footer="198" w:gutter="0"/>
          <w:cols w:space="708"/>
          <w:docGrid w:linePitch="360"/>
        </w:sectPr>
      </w:pPr>
    </w:p>
    <w:p w14:paraId="44731E95" w14:textId="17047B1F" w:rsidR="00EB0F9B" w:rsidRPr="00EB0F9B" w:rsidRDefault="00EB0F9B" w:rsidP="00EB0F9B">
      <w:pPr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Contratante</w:t>
      </w:r>
    </w:p>
    <w:p w14:paraId="69019FB3" w14:textId="77777777" w:rsidR="00EB0F9B" w:rsidRPr="00EB0F9B" w:rsidRDefault="00EB0F9B" w:rsidP="00EB0F9B">
      <w:pPr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Contratada</w:t>
      </w:r>
    </w:p>
    <w:p w14:paraId="24FBF292" w14:textId="77777777" w:rsidR="00EB0F9B" w:rsidRPr="00EB0F9B" w:rsidRDefault="00EB0F9B" w:rsidP="00EB0F9B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  <w:sectPr w:rsidR="00EB0F9B" w:rsidRPr="00EB0F9B" w:rsidSect="00EB0F9B">
          <w:type w:val="continuous"/>
          <w:pgSz w:w="11910" w:h="16840" w:code="9"/>
          <w:pgMar w:top="1245" w:right="1134" w:bottom="1134" w:left="1418" w:header="284" w:footer="198" w:gutter="0"/>
          <w:cols w:num="2" w:space="708"/>
          <w:docGrid w:linePitch="360"/>
        </w:sectPr>
      </w:pPr>
    </w:p>
    <w:p w14:paraId="27A70F1F" w14:textId="2A5549C6" w:rsidR="00EB0F9B" w:rsidRPr="00EB0F9B" w:rsidRDefault="00EB0F9B" w:rsidP="00EB0F9B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Testemunhas:</w:t>
      </w:r>
    </w:p>
    <w:p w14:paraId="3A9B7E12" w14:textId="77777777" w:rsidR="00EB0F9B" w:rsidRPr="00EB0F9B" w:rsidRDefault="00EB0F9B" w:rsidP="00EB0F9B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  <w:sectPr w:rsidR="00EB0F9B" w:rsidRPr="00EB0F9B" w:rsidSect="00EB0F9B">
          <w:type w:val="continuous"/>
          <w:pgSz w:w="11910" w:h="16840" w:code="9"/>
          <w:pgMar w:top="1245" w:right="1134" w:bottom="1134" w:left="1418" w:header="284" w:footer="198" w:gutter="0"/>
          <w:cols w:space="708"/>
          <w:docGrid w:linePitch="360"/>
        </w:sectPr>
      </w:pPr>
    </w:p>
    <w:p w14:paraId="3224C563" w14:textId="0C9E93DF" w:rsidR="00EB0F9B" w:rsidRPr="00EB0F9B" w:rsidRDefault="00EB0F9B" w:rsidP="00EB0F9B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Nome:</w:t>
      </w:r>
    </w:p>
    <w:p w14:paraId="47B52EE5" w14:textId="77777777" w:rsidR="00EB0F9B" w:rsidRPr="00EB0F9B" w:rsidRDefault="00EB0F9B" w:rsidP="00EB0F9B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CPF:</w:t>
      </w:r>
    </w:p>
    <w:p w14:paraId="22D97D09" w14:textId="77777777" w:rsidR="00EB0F9B" w:rsidRPr="00EB0F9B" w:rsidRDefault="00EB0F9B" w:rsidP="00EB0F9B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CD4EF6C" w14:textId="7E5876FB" w:rsidR="00EB0F9B" w:rsidRPr="00EB0F9B" w:rsidRDefault="00EB0F9B" w:rsidP="00EB0F9B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Nome:</w:t>
      </w:r>
    </w:p>
    <w:p w14:paraId="5FF1A8BF" w14:textId="77777777" w:rsidR="00EB0F9B" w:rsidRPr="00EB0F9B" w:rsidRDefault="00EB0F9B" w:rsidP="00EB0F9B">
      <w:pPr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B0F9B">
        <w:rPr>
          <w:rFonts w:ascii="Times New Roman" w:hAnsi="Times New Roman" w:cs="Times New Roman"/>
          <w:sz w:val="23"/>
          <w:szCs w:val="23"/>
        </w:rPr>
        <w:t>CPF:</w:t>
      </w:r>
    </w:p>
    <w:p w14:paraId="0F85B1D9" w14:textId="77777777" w:rsidR="00EB0F9B" w:rsidRPr="00EB0F9B" w:rsidRDefault="00EB0F9B" w:rsidP="00FE0EC9">
      <w:pPr>
        <w:pStyle w:val="PargrafodaLista"/>
        <w:widowControl/>
        <w:autoSpaceDE/>
        <w:autoSpaceDN/>
        <w:spacing w:line="360" w:lineRule="auto"/>
        <w:ind w:left="0"/>
        <w:jc w:val="both"/>
        <w:rPr>
          <w:rFonts w:ascii="Times New Roman" w:hAnsi="Times New Roman" w:cs="Times New Roman"/>
          <w:sz w:val="23"/>
          <w:szCs w:val="23"/>
        </w:rPr>
        <w:sectPr w:rsidR="00EB0F9B" w:rsidRPr="00EB0F9B" w:rsidSect="00EB0F9B">
          <w:type w:val="continuous"/>
          <w:pgSz w:w="11910" w:h="16840" w:code="9"/>
          <w:pgMar w:top="1245" w:right="1134" w:bottom="1134" w:left="1418" w:header="284" w:footer="198" w:gutter="0"/>
          <w:cols w:num="2" w:space="708"/>
          <w:docGrid w:linePitch="360"/>
        </w:sectPr>
      </w:pPr>
    </w:p>
    <w:p w14:paraId="0838EA0B" w14:textId="7A404AE2" w:rsidR="003D0E4D" w:rsidRPr="00EB0F9B" w:rsidRDefault="003D0E4D" w:rsidP="00FE0EC9">
      <w:pPr>
        <w:pStyle w:val="PargrafodaLista"/>
        <w:widowControl/>
        <w:autoSpaceDE/>
        <w:autoSpaceDN/>
        <w:spacing w:line="36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sectPr w:rsidR="003D0E4D" w:rsidRPr="00EB0F9B" w:rsidSect="00EB0F9B">
      <w:type w:val="continuous"/>
      <w:pgSz w:w="11910" w:h="16840" w:code="9"/>
      <w:pgMar w:top="1245" w:right="1134" w:bottom="1134" w:left="1418" w:header="284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8001F" w14:textId="77777777" w:rsidR="004A7CAF" w:rsidRDefault="004A7CAF" w:rsidP="002708F3">
      <w:r>
        <w:separator/>
      </w:r>
    </w:p>
  </w:endnote>
  <w:endnote w:type="continuationSeparator" w:id="0">
    <w:p w14:paraId="48A71110" w14:textId="77777777" w:rsidR="004A7CAF" w:rsidRDefault="004A7CAF" w:rsidP="0027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E0EF7" w14:textId="6CF4A1B3" w:rsidR="00EB0F9B" w:rsidRDefault="00EB0F9B">
    <w:pPr>
      <w:pStyle w:val="Rodap"/>
    </w:pPr>
    <w:r>
      <w:rPr>
        <w:noProof/>
      </w:rPr>
      <w:drawing>
        <wp:inline distT="0" distB="0" distL="0" distR="0" wp14:anchorId="7FEC3720" wp14:editId="1EA811EA">
          <wp:extent cx="5942330" cy="680603"/>
          <wp:effectExtent l="0" t="0" r="1270" b="5715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330" cy="6806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F4931" w14:textId="77777777" w:rsidR="004A7CAF" w:rsidRDefault="004A7CAF" w:rsidP="002708F3">
      <w:r>
        <w:separator/>
      </w:r>
    </w:p>
  </w:footnote>
  <w:footnote w:type="continuationSeparator" w:id="0">
    <w:p w14:paraId="00E1C893" w14:textId="77777777" w:rsidR="004A7CAF" w:rsidRDefault="004A7CAF" w:rsidP="0027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723CD" w14:textId="6F255B5D" w:rsidR="00EB0F9B" w:rsidRDefault="00EB0F9B">
    <w:pPr>
      <w:pStyle w:val="Cabealho"/>
    </w:pPr>
    <w:r>
      <w:rPr>
        <w:rFonts w:ascii="Monotype Corsiva" w:hAnsi="Monotype Corsiva" w:cs="Monotype Corsiva"/>
        <w:b/>
        <w:bCs/>
        <w:noProof/>
        <w:sz w:val="16"/>
        <w:szCs w:val="16"/>
      </w:rPr>
      <w:drawing>
        <wp:inline distT="0" distB="0" distL="0" distR="0" wp14:anchorId="072EFBFE" wp14:editId="308606D5">
          <wp:extent cx="5760085" cy="723073"/>
          <wp:effectExtent l="0" t="0" r="0" b="0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230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FB5A4F"/>
    <w:multiLevelType w:val="hybridMultilevel"/>
    <w:tmpl w:val="4F35533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2A17B3B"/>
    <w:multiLevelType w:val="hybridMultilevel"/>
    <w:tmpl w:val="4C8B62D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04B9660"/>
    <w:multiLevelType w:val="hybridMultilevel"/>
    <w:tmpl w:val="427F95D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23641B7"/>
    <w:multiLevelType w:val="hybridMultilevel"/>
    <w:tmpl w:val="6E9F9DF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F9495D"/>
    <w:multiLevelType w:val="multilevel"/>
    <w:tmpl w:val="53126C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6DA0964"/>
    <w:multiLevelType w:val="multilevel"/>
    <w:tmpl w:val="14625AC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A9145B"/>
    <w:multiLevelType w:val="hybridMultilevel"/>
    <w:tmpl w:val="1CF431FA"/>
    <w:lvl w:ilvl="0" w:tplc="9CD046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1A246D"/>
    <w:multiLevelType w:val="multilevel"/>
    <w:tmpl w:val="53F66A4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E32C69"/>
    <w:multiLevelType w:val="multilevel"/>
    <w:tmpl w:val="ED42A85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0D06289"/>
    <w:multiLevelType w:val="hybridMultilevel"/>
    <w:tmpl w:val="359160F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10D5849"/>
    <w:multiLevelType w:val="multilevel"/>
    <w:tmpl w:val="3DE86F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47459DC"/>
    <w:multiLevelType w:val="multilevel"/>
    <w:tmpl w:val="0204CB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751442D"/>
    <w:multiLevelType w:val="hybridMultilevel"/>
    <w:tmpl w:val="74DA2A4A"/>
    <w:lvl w:ilvl="0" w:tplc="9CD046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D61AD"/>
    <w:multiLevelType w:val="multilevel"/>
    <w:tmpl w:val="DD26746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DFF6572"/>
    <w:multiLevelType w:val="multilevel"/>
    <w:tmpl w:val="14625AC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3C53FC9"/>
    <w:multiLevelType w:val="multilevel"/>
    <w:tmpl w:val="740ECF6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8D45D8C"/>
    <w:multiLevelType w:val="multilevel"/>
    <w:tmpl w:val="441AF9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B7E1F53"/>
    <w:multiLevelType w:val="multilevel"/>
    <w:tmpl w:val="8BC451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F5F70F8"/>
    <w:multiLevelType w:val="multilevel"/>
    <w:tmpl w:val="14625AC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236A051"/>
    <w:multiLevelType w:val="hybridMultilevel"/>
    <w:tmpl w:val="FE4834B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2602E9D"/>
    <w:multiLevelType w:val="multilevel"/>
    <w:tmpl w:val="F1A4C6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A76021"/>
    <w:multiLevelType w:val="multilevel"/>
    <w:tmpl w:val="52EC92D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E530FD3"/>
    <w:multiLevelType w:val="multilevel"/>
    <w:tmpl w:val="A6DCE0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2195A83"/>
    <w:multiLevelType w:val="multilevel"/>
    <w:tmpl w:val="1C261EE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8E3B1DB"/>
    <w:multiLevelType w:val="hybridMultilevel"/>
    <w:tmpl w:val="4BC25E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A2D4736"/>
    <w:multiLevelType w:val="multilevel"/>
    <w:tmpl w:val="0204CB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60086911"/>
    <w:multiLevelType w:val="multilevel"/>
    <w:tmpl w:val="0204CB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6035AEE"/>
    <w:multiLevelType w:val="multilevel"/>
    <w:tmpl w:val="441AF9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A324CC3"/>
    <w:multiLevelType w:val="multilevel"/>
    <w:tmpl w:val="9F9EDD0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B3131A9"/>
    <w:multiLevelType w:val="hybridMultilevel"/>
    <w:tmpl w:val="B288A56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E1E3114"/>
    <w:multiLevelType w:val="hybridMultilevel"/>
    <w:tmpl w:val="FCBA2102"/>
    <w:lvl w:ilvl="0" w:tplc="7DA6E2B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5691F40"/>
    <w:multiLevelType w:val="multilevel"/>
    <w:tmpl w:val="1C261EE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A822C0C"/>
    <w:multiLevelType w:val="multilevel"/>
    <w:tmpl w:val="0204CB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3" w15:restartNumberingAfterBreak="0">
    <w:nsid w:val="7DE34215"/>
    <w:multiLevelType w:val="multilevel"/>
    <w:tmpl w:val="4FA00DDA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3"/>
  </w:num>
  <w:num w:numId="2">
    <w:abstractNumId w:val="10"/>
  </w:num>
  <w:num w:numId="3">
    <w:abstractNumId w:val="32"/>
  </w:num>
  <w:num w:numId="4">
    <w:abstractNumId w:val="25"/>
  </w:num>
  <w:num w:numId="5">
    <w:abstractNumId w:val="11"/>
  </w:num>
  <w:num w:numId="6">
    <w:abstractNumId w:val="26"/>
  </w:num>
  <w:num w:numId="7">
    <w:abstractNumId w:val="22"/>
  </w:num>
  <w:num w:numId="8">
    <w:abstractNumId w:val="17"/>
  </w:num>
  <w:num w:numId="9">
    <w:abstractNumId w:val="21"/>
  </w:num>
  <w:num w:numId="10">
    <w:abstractNumId w:val="28"/>
  </w:num>
  <w:num w:numId="11">
    <w:abstractNumId w:val="15"/>
  </w:num>
  <w:num w:numId="12">
    <w:abstractNumId w:val="13"/>
  </w:num>
  <w:num w:numId="13">
    <w:abstractNumId w:val="7"/>
  </w:num>
  <w:num w:numId="14">
    <w:abstractNumId w:val="14"/>
  </w:num>
  <w:num w:numId="15">
    <w:abstractNumId w:val="18"/>
  </w:num>
  <w:num w:numId="16">
    <w:abstractNumId w:val="5"/>
  </w:num>
  <w:num w:numId="17">
    <w:abstractNumId w:val="20"/>
  </w:num>
  <w:num w:numId="18">
    <w:abstractNumId w:val="0"/>
  </w:num>
  <w:num w:numId="19">
    <w:abstractNumId w:val="9"/>
  </w:num>
  <w:num w:numId="20">
    <w:abstractNumId w:val="19"/>
  </w:num>
  <w:num w:numId="21">
    <w:abstractNumId w:val="24"/>
  </w:num>
  <w:num w:numId="22">
    <w:abstractNumId w:val="2"/>
  </w:num>
  <w:num w:numId="23">
    <w:abstractNumId w:val="29"/>
  </w:num>
  <w:num w:numId="24">
    <w:abstractNumId w:val="3"/>
  </w:num>
  <w:num w:numId="25">
    <w:abstractNumId w:val="1"/>
  </w:num>
  <w:num w:numId="26">
    <w:abstractNumId w:val="4"/>
  </w:num>
  <w:num w:numId="27">
    <w:abstractNumId w:val="27"/>
  </w:num>
  <w:num w:numId="28">
    <w:abstractNumId w:val="16"/>
  </w:num>
  <w:num w:numId="29">
    <w:abstractNumId w:val="8"/>
  </w:num>
  <w:num w:numId="30">
    <w:abstractNumId w:val="30"/>
  </w:num>
  <w:num w:numId="31">
    <w:abstractNumId w:val="6"/>
  </w:num>
  <w:num w:numId="32">
    <w:abstractNumId w:val="12"/>
  </w:num>
  <w:num w:numId="33">
    <w:abstractNumId w:val="31"/>
  </w:num>
  <w:num w:numId="34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1D1"/>
    <w:rsid w:val="000130AD"/>
    <w:rsid w:val="00015A5D"/>
    <w:rsid w:val="000224DE"/>
    <w:rsid w:val="000233BF"/>
    <w:rsid w:val="0007020B"/>
    <w:rsid w:val="00075905"/>
    <w:rsid w:val="000977C8"/>
    <w:rsid w:val="000A6560"/>
    <w:rsid w:val="000D43A5"/>
    <w:rsid w:val="000D6B6B"/>
    <w:rsid w:val="000E43AC"/>
    <w:rsid w:val="000E7020"/>
    <w:rsid w:val="001008AA"/>
    <w:rsid w:val="001077BA"/>
    <w:rsid w:val="00114B88"/>
    <w:rsid w:val="001858E3"/>
    <w:rsid w:val="00191FAF"/>
    <w:rsid w:val="00194A5C"/>
    <w:rsid w:val="001A0FE4"/>
    <w:rsid w:val="001C4404"/>
    <w:rsid w:val="001C4987"/>
    <w:rsid w:val="00231F7F"/>
    <w:rsid w:val="002438EA"/>
    <w:rsid w:val="002554EF"/>
    <w:rsid w:val="002708F3"/>
    <w:rsid w:val="0029588F"/>
    <w:rsid w:val="002B690C"/>
    <w:rsid w:val="002E02F2"/>
    <w:rsid w:val="002F31E1"/>
    <w:rsid w:val="0032105A"/>
    <w:rsid w:val="003335C2"/>
    <w:rsid w:val="00382A70"/>
    <w:rsid w:val="003966D2"/>
    <w:rsid w:val="003D068B"/>
    <w:rsid w:val="003D0E4D"/>
    <w:rsid w:val="003D332E"/>
    <w:rsid w:val="003E3A31"/>
    <w:rsid w:val="00417B7A"/>
    <w:rsid w:val="00432C61"/>
    <w:rsid w:val="00461153"/>
    <w:rsid w:val="00473C9B"/>
    <w:rsid w:val="00492E47"/>
    <w:rsid w:val="004A7CAF"/>
    <w:rsid w:val="004D17D3"/>
    <w:rsid w:val="00522168"/>
    <w:rsid w:val="00532354"/>
    <w:rsid w:val="00537DF3"/>
    <w:rsid w:val="005472D6"/>
    <w:rsid w:val="00553C58"/>
    <w:rsid w:val="005764A6"/>
    <w:rsid w:val="005A5C83"/>
    <w:rsid w:val="005B0BC4"/>
    <w:rsid w:val="005F4943"/>
    <w:rsid w:val="006449D6"/>
    <w:rsid w:val="00644B7B"/>
    <w:rsid w:val="00683AE4"/>
    <w:rsid w:val="00704BFB"/>
    <w:rsid w:val="00711452"/>
    <w:rsid w:val="007348C5"/>
    <w:rsid w:val="00744976"/>
    <w:rsid w:val="007739B6"/>
    <w:rsid w:val="007930BB"/>
    <w:rsid w:val="007A7389"/>
    <w:rsid w:val="0081318A"/>
    <w:rsid w:val="00844BA4"/>
    <w:rsid w:val="008775CB"/>
    <w:rsid w:val="008B1857"/>
    <w:rsid w:val="008B5AD8"/>
    <w:rsid w:val="008D3EDF"/>
    <w:rsid w:val="008D7EF3"/>
    <w:rsid w:val="008E387B"/>
    <w:rsid w:val="008E5D49"/>
    <w:rsid w:val="0091225D"/>
    <w:rsid w:val="00937E67"/>
    <w:rsid w:val="009450F2"/>
    <w:rsid w:val="00983FE4"/>
    <w:rsid w:val="00986A25"/>
    <w:rsid w:val="009B1F95"/>
    <w:rsid w:val="009D6D02"/>
    <w:rsid w:val="009F4B0A"/>
    <w:rsid w:val="009F77E2"/>
    <w:rsid w:val="00A15038"/>
    <w:rsid w:val="00A50209"/>
    <w:rsid w:val="00A80D76"/>
    <w:rsid w:val="00AB4DC6"/>
    <w:rsid w:val="00AD6ED0"/>
    <w:rsid w:val="00AF0541"/>
    <w:rsid w:val="00AF41D1"/>
    <w:rsid w:val="00B20EE2"/>
    <w:rsid w:val="00B62655"/>
    <w:rsid w:val="00B62C89"/>
    <w:rsid w:val="00B6583E"/>
    <w:rsid w:val="00B66034"/>
    <w:rsid w:val="00B67996"/>
    <w:rsid w:val="00B711D9"/>
    <w:rsid w:val="00B80D24"/>
    <w:rsid w:val="00BF656E"/>
    <w:rsid w:val="00C070A6"/>
    <w:rsid w:val="00C105B6"/>
    <w:rsid w:val="00C17223"/>
    <w:rsid w:val="00C35EF6"/>
    <w:rsid w:val="00C76E00"/>
    <w:rsid w:val="00CA424D"/>
    <w:rsid w:val="00CB1699"/>
    <w:rsid w:val="00CB59F6"/>
    <w:rsid w:val="00CD4F6F"/>
    <w:rsid w:val="00CE387D"/>
    <w:rsid w:val="00CE6465"/>
    <w:rsid w:val="00D12C51"/>
    <w:rsid w:val="00D43852"/>
    <w:rsid w:val="00D46D3A"/>
    <w:rsid w:val="00D71737"/>
    <w:rsid w:val="00D76F07"/>
    <w:rsid w:val="00D958EC"/>
    <w:rsid w:val="00DC0866"/>
    <w:rsid w:val="00DD3A67"/>
    <w:rsid w:val="00E24FF3"/>
    <w:rsid w:val="00E31BE0"/>
    <w:rsid w:val="00E3350E"/>
    <w:rsid w:val="00E34CCC"/>
    <w:rsid w:val="00E41098"/>
    <w:rsid w:val="00E573E6"/>
    <w:rsid w:val="00E970DD"/>
    <w:rsid w:val="00EB0F9B"/>
    <w:rsid w:val="00ED3D22"/>
    <w:rsid w:val="00F15649"/>
    <w:rsid w:val="00F22645"/>
    <w:rsid w:val="00F539F3"/>
    <w:rsid w:val="00F64FBD"/>
    <w:rsid w:val="00FA50E2"/>
    <w:rsid w:val="00FD5306"/>
    <w:rsid w:val="00FE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3CF16"/>
  <w15:chartTrackingRefBased/>
  <w15:docId w15:val="{390265F7-88EC-403F-8EFD-A3ADDB48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1D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F41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4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41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F41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AF41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41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41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41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41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41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F41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F41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41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41D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41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41D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41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41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F41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F4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41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F41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F4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F41D1"/>
    <w:rPr>
      <w:i/>
      <w:iCs/>
      <w:color w:val="404040" w:themeColor="text1" w:themeTint="BF"/>
    </w:rPr>
  </w:style>
  <w:style w:type="paragraph" w:styleId="PargrafodaLista">
    <w:name w:val="List Paragraph"/>
    <w:aliases w:val="List I Paragraph,descritivo,Due date,Segundo"/>
    <w:basedOn w:val="Normal"/>
    <w:link w:val="PargrafodaListaChar"/>
    <w:uiPriority w:val="34"/>
    <w:qFormat/>
    <w:rsid w:val="00AF41D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F41D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41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41D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F41D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F41D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F41D1"/>
    <w:pPr>
      <w:spacing w:before="130"/>
      <w:ind w:left="10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AF41D1"/>
    <w:rPr>
      <w:rFonts w:ascii="Arial MT" w:eastAsia="Arial MT" w:hAnsi="Arial MT" w:cs="Arial MT"/>
      <w:kern w:val="0"/>
      <w:sz w:val="20"/>
      <w:szCs w:val="2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F41D1"/>
    <w:pPr>
      <w:spacing w:before="61"/>
    </w:pPr>
  </w:style>
  <w:style w:type="paragraph" w:styleId="Cabealho">
    <w:name w:val="header"/>
    <w:aliases w:val="encabezado,Cabeçalho superior"/>
    <w:basedOn w:val="Normal"/>
    <w:link w:val="CabealhoChar"/>
    <w:uiPriority w:val="99"/>
    <w:unhideWhenUsed/>
    <w:rsid w:val="00AF4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Cabeçalho superior Char"/>
    <w:basedOn w:val="Fontepargpadro"/>
    <w:link w:val="Cabealho"/>
    <w:uiPriority w:val="99"/>
    <w:rsid w:val="00AF41D1"/>
    <w:rPr>
      <w:rFonts w:ascii="Arial MT" w:eastAsia="Arial MT" w:hAnsi="Arial MT" w:cs="Arial MT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F4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41D1"/>
    <w:rPr>
      <w:rFonts w:ascii="Arial MT" w:eastAsia="Arial MT" w:hAnsi="Arial MT" w:cs="Arial MT"/>
      <w:kern w:val="0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58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58EC"/>
    <w:rPr>
      <w:rFonts w:ascii="Segoe UI" w:eastAsia="Arial MT" w:hAnsi="Segoe UI" w:cs="Segoe UI"/>
      <w:kern w:val="0"/>
      <w:sz w:val="18"/>
      <w:szCs w:val="18"/>
      <w:lang w:val="pt-PT"/>
      <w14:ligatures w14:val="none"/>
    </w:rPr>
  </w:style>
  <w:style w:type="character" w:customStyle="1" w:styleId="PargrafodaListaChar">
    <w:name w:val="Parágrafo da Lista Char"/>
    <w:aliases w:val="List I Paragraph Char,descritivo Char,Due date Char,Segundo Char"/>
    <w:link w:val="PargrafodaLista"/>
    <w:uiPriority w:val="34"/>
    <w:rsid w:val="009D6D02"/>
    <w:rPr>
      <w:rFonts w:ascii="Arial MT" w:eastAsia="Arial MT" w:hAnsi="Arial MT" w:cs="Arial MT"/>
      <w:kern w:val="0"/>
      <w:lang w:val="pt-PT"/>
      <w14:ligatures w14:val="none"/>
    </w:rPr>
  </w:style>
  <w:style w:type="paragraph" w:customStyle="1" w:styleId="Default">
    <w:name w:val="Default"/>
    <w:rsid w:val="00F22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1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87A3B-B3B5-4FD6-8300-C08478FE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3347</Words>
  <Characters>18078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Miranda</dc:creator>
  <cp:keywords/>
  <dc:description/>
  <cp:lastModifiedBy>User</cp:lastModifiedBy>
  <cp:revision>66</cp:revision>
  <cp:lastPrinted>2025-03-27T18:00:00Z</cp:lastPrinted>
  <dcterms:created xsi:type="dcterms:W3CDTF">2024-07-01T12:50:00Z</dcterms:created>
  <dcterms:modified xsi:type="dcterms:W3CDTF">2025-03-27T18:06:00Z</dcterms:modified>
</cp:coreProperties>
</file>